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【進め方の案（60分の場合）】</w:t>
      </w:r>
    </w:p>
    <w:p>
      <w:pPr>
        <w:spacing w:after="60" w:before="0"/>
      </w:pPr>
      <w:r>
        <w:rPr>
          <w:rFonts w:ascii="游ゴシック" w:hAnsi="游ゴシック" w:eastAsia="游ゴシック"/>
          <w:b w:val="0"/>
          <w:sz w:val="19"/>
        </w:rPr>
        <w:t>会議の時間が60分の場合は、次の6項目に絞ってご確認いただき、残る8項目は本シートに書面でご記入いただく形をご提案いたします。別冊「キックオフ会議 トークスクリプト（60分）」がこの進め方に対応しています。</w:t>
      </w:r>
    </w:p>
    <w:tbl>
      <w:tblPr>
        <w:tblStyle w:val="TableGrid"/>
        <w:tblW w:type="auto" w:w="0"/>
        <w:tblLook w:firstColumn="1" w:firstRow="1" w:lastColumn="0" w:lastRow="0" w:noHBand="0" w:noVBand="1" w:val="04A0"/>
      </w:tblPr>
      <w:tblGrid>
        <w:gridCol w:w="2466"/>
        <w:gridCol w:w="2466"/>
        <w:gridCol w:w="2466"/>
        <w:gridCol w:w="2466"/>
      </w:tblGrid>
      <w:tr>
        <w:tc>
          <w:tcPr>
            <w:tcW w:type="dxa" w:w="1361"/>
            <w:shd w:val="clear" w:fill="4472C4"/>
          </w:tcPr>
          <w:p>
            <w:pPr>
              <w:spacing w:after="20" w:before="20"/>
            </w:pPr>
            <w:r/>
            <w:r>
              <w:rPr>
                <w:rFonts w:ascii="游ゴシック" w:hAnsi="游ゴシック" w:eastAsia="游ゴシック"/>
                <w:b/>
                <w:color w:val="FFFFFF"/>
                <w:sz w:val="18"/>
              </w:rPr>
              <w:t>時刻</w:t>
            </w:r>
          </w:p>
        </w:tc>
        <w:tc>
          <w:tcPr>
            <w:tcW w:type="dxa" w:w="3742"/>
            <w:shd w:val="clear" w:fill="4472C4"/>
          </w:tcPr>
          <w:p>
            <w:pPr>
              <w:spacing w:after="20" w:before="20"/>
            </w:pPr>
            <w:r/>
            <w:r>
              <w:rPr>
                <w:rFonts w:ascii="游ゴシック" w:hAnsi="游ゴシック" w:eastAsia="游ゴシック"/>
                <w:b/>
                <w:color w:val="FFFFFF"/>
                <w:sz w:val="18"/>
              </w:rPr>
              <w:t>内容</w:t>
            </w:r>
          </w:p>
        </w:tc>
        <w:tc>
          <w:tcPr>
            <w:tcW w:type="dxa" w:w="3402"/>
            <w:shd w:val="clear" w:fill="4472C4"/>
          </w:tcPr>
          <w:p>
            <w:pPr>
              <w:spacing w:after="20" w:before="20"/>
            </w:pPr>
            <w:r/>
            <w:r>
              <w:rPr>
                <w:rFonts w:ascii="游ゴシック" w:hAnsi="游ゴシック" w:eastAsia="游ゴシック"/>
                <w:b/>
                <w:color w:val="FFFFFF"/>
                <w:sz w:val="18"/>
              </w:rPr>
              <w:t>対象</w:t>
            </w:r>
          </w:p>
        </w:tc>
        <w:tc>
          <w:tcPr>
            <w:tcW w:type="dxa" w:w="1247"/>
            <w:shd w:val="clear" w:fill="4472C4"/>
          </w:tcPr>
          <w:p>
            <w:pPr>
              <w:spacing w:after="20" w:before="20"/>
            </w:pPr>
            <w:r/>
            <w:r>
              <w:rPr>
                <w:rFonts w:ascii="游ゴシック" w:hAnsi="游ゴシック" w:eastAsia="游ゴシック"/>
                <w:b/>
                <w:color w:val="FFFFFF"/>
                <w:sz w:val="18"/>
              </w:rPr>
              <w:t>扱い</w:t>
            </w:r>
          </w:p>
        </w:tc>
      </w:tr>
      <w:tr>
        <w:tc>
          <w:tcPr>
            <w:tcW w:type="dxa" w:w="1361"/>
          </w:tcPr>
          <w:p>
            <w:pPr>
              <w:spacing w:after="20" w:before="20"/>
            </w:pPr>
            <w:r/>
            <w:r>
              <w:rPr>
                <w:rFonts w:ascii="游ゴシック" w:hAnsi="游ゴシック" w:eastAsia="游ゴシック"/>
                <w:b w:val="0"/>
                <w:sz w:val="18"/>
              </w:rPr>
              <w:t>0:00–0:05</w:t>
            </w:r>
          </w:p>
        </w:tc>
        <w:tc>
          <w:tcPr>
            <w:tcW w:type="dxa" w:w="3742"/>
          </w:tcPr>
          <w:p>
            <w:pPr>
              <w:spacing w:after="20" w:before="20"/>
            </w:pPr>
            <w:r/>
            <w:r>
              <w:rPr>
                <w:rFonts w:ascii="游ゴシック" w:hAnsi="游ゴシック" w:eastAsia="游ゴシック"/>
                <w:b w:val="0"/>
                <w:sz w:val="18"/>
              </w:rPr>
              <w:t>開会と本日のねらい</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0:05–0:12</w:t>
            </w:r>
          </w:p>
        </w:tc>
        <w:tc>
          <w:tcPr>
            <w:tcW w:type="dxa" w:w="3742"/>
          </w:tcPr>
          <w:p>
            <w:pPr>
              <w:spacing w:after="20" w:before="20"/>
            </w:pPr>
            <w:r/>
            <w:r>
              <w:rPr>
                <w:rFonts w:ascii="游ゴシック" w:hAnsi="游ゴシック" w:eastAsia="游ゴシック"/>
                <w:b w:val="0"/>
                <w:sz w:val="18"/>
              </w:rPr>
              <w:t>進捗のご報告と開示の順序</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0:12–0:22</w:t>
            </w:r>
          </w:p>
        </w:tc>
        <w:tc>
          <w:tcPr>
            <w:tcW w:type="dxa" w:w="3742"/>
          </w:tcPr>
          <w:p>
            <w:pPr>
              <w:spacing w:after="20" w:before="20"/>
            </w:pPr>
            <w:r/>
            <w:r>
              <w:rPr>
                <w:rFonts w:ascii="游ゴシック" w:hAnsi="游ゴシック" w:eastAsia="游ゴシック"/>
                <w:b w:val="0"/>
                <w:sz w:val="18"/>
              </w:rPr>
              <w:t>事業所実態調査で把握できない項目とKPI4項目の扱い</w:t>
            </w:r>
          </w:p>
        </w:tc>
        <w:tc>
          <w:tcPr>
            <w:tcW w:type="dxa" w:w="3402"/>
          </w:tcPr>
          <w:p>
            <w:pPr>
              <w:spacing w:after="20" w:before="20"/>
            </w:pPr>
            <w:r/>
            <w:r>
              <w:rPr>
                <w:rFonts w:ascii="游ゴシック" w:hAnsi="游ゴシック" w:eastAsia="游ゴシック"/>
                <w:b w:val="0"/>
                <w:sz w:val="18"/>
              </w:rPr>
              <w:t>項目1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0:22–0:30</w:t>
            </w:r>
          </w:p>
        </w:tc>
        <w:tc>
          <w:tcPr>
            <w:tcW w:type="dxa" w:w="3742"/>
          </w:tcPr>
          <w:p>
            <w:pPr>
              <w:spacing w:after="20" w:before="20"/>
            </w:pPr>
            <w:r/>
            <w:r>
              <w:rPr>
                <w:rFonts w:ascii="游ゴシック" w:hAnsi="游ゴシック" w:eastAsia="游ゴシック"/>
                <w:b w:val="0"/>
                <w:sz w:val="18"/>
              </w:rPr>
              <w:t>委員会日程とパブリックコメント期間</w:t>
            </w:r>
          </w:p>
        </w:tc>
        <w:tc>
          <w:tcPr>
            <w:tcW w:type="dxa" w:w="3402"/>
          </w:tcPr>
          <w:p>
            <w:pPr>
              <w:spacing w:after="20" w:before="20"/>
            </w:pPr>
            <w:r/>
            <w:r>
              <w:rPr>
                <w:rFonts w:ascii="游ゴシック" w:hAnsi="游ゴシック" w:eastAsia="游ゴシック"/>
                <w:b w:val="0"/>
                <w:sz w:val="18"/>
              </w:rPr>
              <w:t>項目2</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0:30–0:40</w:t>
            </w:r>
          </w:p>
        </w:tc>
        <w:tc>
          <w:tcPr>
            <w:tcW w:type="dxa" w:w="3742"/>
          </w:tcPr>
          <w:p>
            <w:pPr>
              <w:spacing w:after="20" w:before="20"/>
            </w:pPr>
            <w:r/>
            <w:r>
              <w:rPr>
                <w:rFonts w:ascii="游ゴシック" w:hAnsi="游ゴシック" w:eastAsia="游ゴシック"/>
                <w:b w:val="0"/>
                <w:sz w:val="18"/>
              </w:rPr>
              <w:t>推計の前提と採用シナリオ</w:t>
            </w:r>
          </w:p>
        </w:tc>
        <w:tc>
          <w:tcPr>
            <w:tcW w:type="dxa" w:w="3402"/>
          </w:tcPr>
          <w:p>
            <w:pPr>
              <w:spacing w:after="20" w:before="20"/>
            </w:pPr>
            <w:r/>
            <w:r>
              <w:rPr>
                <w:rFonts w:ascii="游ゴシック" w:hAnsi="游ゴシック" w:eastAsia="游ゴシック"/>
                <w:b w:val="0"/>
                <w:sz w:val="18"/>
              </w:rPr>
              <w:t>項目6</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0:40–0:50</w:t>
            </w:r>
          </w:p>
        </w:tc>
        <w:tc>
          <w:tcPr>
            <w:tcW w:type="dxa" w:w="3742"/>
          </w:tcPr>
          <w:p>
            <w:pPr>
              <w:spacing w:after="20" w:before="20"/>
            </w:pPr>
            <w:r/>
            <w:r>
              <w:rPr>
                <w:rFonts w:ascii="游ゴシック" w:hAnsi="游ゴシック" w:eastAsia="游ゴシック"/>
                <w:b w:val="0"/>
                <w:sz w:val="18"/>
              </w:rPr>
              <w:t>第9期実績の提供時期と点検事項の取扱い</w:t>
            </w:r>
          </w:p>
        </w:tc>
        <w:tc>
          <w:tcPr>
            <w:tcW w:type="dxa" w:w="3402"/>
          </w:tcPr>
          <w:p>
            <w:pPr>
              <w:spacing w:after="20" w:before="20"/>
            </w:pPr>
            <w:r/>
            <w:r>
              <w:rPr>
                <w:rFonts w:ascii="游ゴシック" w:hAnsi="游ゴシック" w:eastAsia="游ゴシック"/>
                <w:b w:val="0"/>
                <w:sz w:val="18"/>
              </w:rPr>
              <w:t>項目3・13</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0:50–0:57</w:t>
            </w:r>
          </w:p>
        </w:tc>
        <w:tc>
          <w:tcPr>
            <w:tcW w:type="dxa" w:w="3742"/>
          </w:tcPr>
          <w:p>
            <w:pPr>
              <w:spacing w:after="20" w:before="20"/>
            </w:pPr>
            <w:r/>
            <w:r>
              <w:rPr>
                <w:rFonts w:ascii="游ゴシック" w:hAnsi="游ゴシック" w:eastAsia="游ゴシック"/>
                <w:b w:val="0"/>
                <w:sz w:val="18"/>
              </w:rPr>
              <w:t>個人情報・公開範囲・原稿レビュー</w:t>
            </w:r>
          </w:p>
        </w:tc>
        <w:tc>
          <w:tcPr>
            <w:tcW w:type="dxa" w:w="3402"/>
          </w:tcPr>
          <w:p>
            <w:pPr>
              <w:spacing w:after="20" w:before="20"/>
            </w:pPr>
            <w:r/>
            <w:r>
              <w:rPr>
                <w:rFonts w:ascii="游ゴシック" w:hAnsi="游ゴシック" w:eastAsia="游ゴシック"/>
                <w:b w:val="0"/>
                <w:sz w:val="18"/>
              </w:rPr>
              <w:t>項目9・10・11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0:57–1:00</w:t>
            </w:r>
          </w:p>
        </w:tc>
        <w:tc>
          <w:tcPr>
            <w:tcW w:type="dxa" w:w="3742"/>
          </w:tcPr>
          <w:p>
            <w:pPr>
              <w:spacing w:after="20" w:before="20"/>
            </w:pPr>
            <w:r/>
            <w:r>
              <w:rPr>
                <w:rFonts w:ascii="游ゴシック" w:hAnsi="游ゴシック" w:eastAsia="游ゴシック"/>
                <w:b w:val="0"/>
                <w:sz w:val="18"/>
              </w:rPr>
              <w:t>まとめと次回まで</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w:t>
            </w:r>
          </w:p>
        </w:tc>
        <w:tc>
          <w:tcPr>
            <w:tcW w:type="dxa" w:w="3742"/>
          </w:tcPr>
          <w:p>
            <w:pPr>
              <w:spacing w:after="20" w:before="20"/>
            </w:pPr>
            <w:r/>
            <w:r>
              <w:rPr>
                <w:rFonts w:ascii="游ゴシック" w:hAnsi="游ゴシック" w:eastAsia="游ゴシック"/>
                <w:b w:val="0"/>
                <w:sz w:val="18"/>
              </w:rPr>
              <w:t>上記以外</w:t>
            </w:r>
          </w:p>
        </w:tc>
        <w:tc>
          <w:tcPr>
            <w:tcW w:type="dxa" w:w="3402"/>
          </w:tcPr>
          <w:p>
            <w:pPr>
              <w:spacing w:after="20" w:before="20"/>
            </w:pPr>
            <w:r/>
            <w:r>
              <w:rPr>
                <w:rFonts w:ascii="游ゴシック" w:hAnsi="游ゴシック" w:eastAsia="游ゴシック"/>
                <w:b w:val="0"/>
                <w:sz w:val="18"/>
              </w:rPr>
              <w:t>項目4・5・7・8・12・14・15・16</w:t>
            </w:r>
          </w:p>
        </w:tc>
        <w:tc>
          <w:tcPr>
            <w:tcW w:type="dxa" w:w="1247"/>
          </w:tcPr>
          <w:p>
            <w:pPr>
              <w:spacing w:after="20" w:before="20"/>
            </w:pPr>
            <w:r/>
            <w:r>
              <w:rPr>
                <w:rFonts w:ascii="游ゴシック" w:hAnsi="游ゴシック" w:eastAsia="游ゴシック"/>
                <w:b w:val="0"/>
                <w:sz w:val="18"/>
              </w:rPr>
              <w:t>書面</w:t>
            </w:r>
          </w:p>
        </w:tc>
      </w:tr>
    </w:tbl>
    <w:p>
      <w:pPr>
        <w:spacing w:after="80"/>
      </w:pPr>
    </w:p>
    <w:p>
      <w:pPr>
        <w:spacing w:after="160" w:before="0"/>
      </w:pPr>
      <w:r>
        <w:rPr>
          <w:rFonts w:ascii="游ゴシック" w:hAnsi="游ゴシック" w:eastAsia="游ゴシック"/>
          <w:b w:val="0"/>
          <w:sz w:val="18"/>
        </w:rPr>
        <w:t>※ 書面でご確認いただく8項目は、いずれも受託者側で仮に置いて作業を進められるものです。仮置きの内容は各項目に記載しています。</w:t>
      </w:r>
    </w:p>
    <w:p>
      <w:pPr>
        <w:spacing w:after="60" w:before="0"/>
      </w:pPr>
      <w:r>
        <w:rPr>
          <w:rFonts w:ascii="游ゴシック" w:hAnsi="游ゴシック" w:eastAsia="游ゴシック"/>
          <w:b/>
          <w:color w:val="1F3864"/>
          <w:sz w:val="22"/>
        </w:rPr>
        <w:t>【進め方の案（120分の場合）】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代表KPI4項目の代理指標</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合計120分です。時間が限られる場合は、上記の60分の進め方によってください。</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事業所実態調査で把握できない項目と代表KPI4項目の扱い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令和8年8月6日のご連絡により、事業所実態調査は実施済みであり、現時点で提出されている調査結果はすべて受領しているものと理解しております。</w:t>
            </w:r>
          </w:p>
          <w:p>
            <w:pPr>
              <w:spacing w:after="20" w:before="0"/>
            </w:pPr>
            <w:r>
              <w:rPr>
                <w:rFonts w:ascii="游ゴシック" w:hAnsi="游ゴシック" w:eastAsia="游ゴシック"/>
                <w:b w:val="0"/>
                <w:sz w:val="19"/>
              </w:rPr>
              <w:t>受領した事業所票27件の項目は、介護職員数、常勤・非常勤、外国人、派遣、採用者数、離職者数です。</w:t>
            </w:r>
          </w:p>
          <w:p>
            <w:pPr>
              <w:spacing w:after="20" w:before="0"/>
            </w:pPr>
            <w:r>
              <w:rPr>
                <w:rFonts w:ascii="游ゴシック" w:hAnsi="游ゴシック" w:eastAsia="游ゴシック"/>
                <w:b w:val="0"/>
                <w:sz w:val="19"/>
              </w:rPr>
              <w:t>一方、キックオフ会議資料の設計案が挙げていた欠員、受入困難、休廃止・縮小意向、ICT、生産性、BCPは、受領した回答に含まれておりません。</w:t>
            </w:r>
          </w:p>
          <w:p>
            <w:pPr>
              <w:spacing w:after="20" w:before="0"/>
            </w:pPr>
            <w:r>
              <w:rPr>
                <w:rFonts w:ascii="游ゴシック" w:hAnsi="游ゴシック" w:eastAsia="游ゴシック"/>
                <w:b w:val="0"/>
                <w:sz w:val="19"/>
              </w:rPr>
              <w:t>このため、代表KPIのうち次の4項目は基準値を算定できません。</w:t>
            </w:r>
          </w:p>
          <w:p>
            <w:pPr>
              <w:spacing w:after="20" w:before="0"/>
            </w:pPr>
            <w:r>
              <w:rPr>
                <w:rFonts w:ascii="游ゴシック" w:hAnsi="游ゴシック" w:eastAsia="游ゴシック"/>
                <w:b w:val="0"/>
                <w:sz w:val="19"/>
              </w:rPr>
              <w:t>・H07 主介護者の高負担割合（在宅介護実態調査。未実施）</w:t>
            </w:r>
          </w:p>
          <w:p>
            <w:pPr>
              <w:spacing w:after="20" w:before="0"/>
            </w:pPr>
            <w:r>
              <w:rPr>
                <w:rFonts w:ascii="游ゴシック" w:hAnsi="游ゴシック" w:eastAsia="游ゴシック"/>
                <w:b w:val="0"/>
                <w:sz w:val="19"/>
              </w:rPr>
              <w:t>・H08 介護離職懸念・就労継続困難割合（同上）</w:t>
            </w:r>
          </w:p>
          <w:p>
            <w:pPr>
              <w:spacing w:after="20" w:before="0"/>
            </w:pPr>
            <w:r>
              <w:rPr>
                <w:rFonts w:ascii="游ゴシック" w:hAnsi="游ゴシック" w:eastAsia="游ゴシック"/>
                <w:b w:val="0"/>
                <w:sz w:val="19"/>
              </w:rPr>
              <w:t>・H12 必要サービス未充足率（受入困難の設問なし）</w:t>
            </w:r>
          </w:p>
          <w:p>
            <w:pPr>
              <w:spacing w:after="20" w:before="0"/>
            </w:pPr>
            <w:r>
              <w:rPr>
                <w:rFonts w:ascii="游ゴシック" w:hAnsi="游ゴシック" w:eastAsia="游ゴシック"/>
                <w:b w:val="0"/>
                <w:sz w:val="19"/>
              </w:rPr>
              <w:t>・H16 災害・感染症時の必須サービス継続率（BCPの設問なし）</w:t>
            </w:r>
          </w:p>
          <w:p>
            <w:pPr>
              <w:spacing w:after="20" w:before="0"/>
            </w:pPr>
            <w:r>
              <w:rPr>
                <w:rFonts w:ascii="游ゴシック" w:hAnsi="游ゴシック" w:eastAsia="游ゴシック"/>
                <w:b w:val="0"/>
                <w:sz w:val="19"/>
              </w:rPr>
              <w:t>受託者は代理指標への振替を案としております。H12は居所変更実態調査の「供給不足を理由とする住替え」で部分的に、H16はBCPの策定率という体制の指標に組み替えることが考えられます。H07・H08は代替できる指標が見当た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代理指標へ振り替える（受託者の案）</w:t>
            </w:r>
          </w:p>
          <w:p>
            <w:pPr>
              <w:spacing w:after="20" w:before="0"/>
            </w:pPr>
            <w:r>
              <w:rPr>
                <w:rFonts w:ascii="游ゴシック" w:hAnsi="游ゴシック" w:eastAsia="游ゴシック"/>
                <w:b w:val="0"/>
                <w:sz w:val="19"/>
              </w:rPr>
              <w:t>□　4項目を代表KPIから落とす</w:t>
            </w:r>
          </w:p>
          <w:p>
            <w:pPr>
              <w:spacing w:after="20" w:before="0"/>
            </w:pPr>
            <w:r>
              <w:rPr>
                <w:rFonts w:ascii="游ゴシック" w:hAnsi="游ゴシック" w:eastAsia="游ゴシック"/>
                <w:b w:val="0"/>
                <w:sz w:val="19"/>
              </w:rPr>
              <w:t>□　追加の設問により事業所へ照会する</w:t>
            </w:r>
          </w:p>
          <w:p>
            <w:pPr>
              <w:spacing w:after="20" w:before="0"/>
            </w:pPr>
            <w:r>
              <w:rPr>
                <w:rFonts w:ascii="游ゴシック" w:hAnsi="游ゴシック" w:eastAsia="游ゴシック"/>
                <w:b w:val="0"/>
                <w:sz w:val="19"/>
              </w:rPr>
              <w:t>□　在宅介護実態調査を別途実施する（業務範囲の追加として別途協議する）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代表KPIのH07（介護者の負担）・H08（就労との両立）・H12（必要サービス未充足率）・H16（災害感染症時の継続率）の基準値と目標値が確定しません。計画本文の代表KPIが16項目から12項目に減る可能性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骨子案 第6節／キックオフ資料（校正反映版）表5・表10／実施済み3調査の受領点検と集計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結果報告書（Word・8章48表39図）を作成しました。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