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素案（第12稿・第9期評価の精緻化と人口推計の補正の反映）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達成（▲0.1pt）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未達（▲1.2pt）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★成果を測る手段がない。指標の新設又は施策の統合を要する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【調査に強い所見があるのに施策がない5領域】</w:t>
      </w:r>
    </w:p>
    <w:p>
      <w:pPr>
        <w:spacing w:after="80"/>
      </w:pPr>
      <w:r>
        <w:rPr>
          <w:rFonts w:ascii="游ゴシック" w:hAnsi="游ゴシック" w:eastAsia="游ゴシック"/>
          <w:b w:val="0"/>
          <w:sz w:val="21"/>
        </w:rPr>
        <w:t>上記とは逆に、実施済み4調査に明確な所見があるにもかかわらず、第9期の施策体系に対応する施策がない領域が5つあります。これらは第10期の施策の空白です。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第9期の施策</w:t>
            </w:r>
          </w:p>
        </w:tc>
        <w:tc>
          <w:tcPr>
            <w:tcW w:type="dxa" w:w="2771"/>
          </w:tcPr>
          <w:p>
            <w:r/>
            <w:r>
              <w:rPr>
                <w:rFonts w:ascii="游ゴシック" w:hAnsi="游ゴシック" w:eastAsia="游ゴシック"/>
                <w:b/>
                <w:sz w:val="17"/>
              </w:rPr>
              <w:t>第10期での扱い</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経済的な理由による未利用</w:t>
            </w:r>
          </w:p>
        </w:tc>
        <w:tc>
          <w:tcPr>
            <w:tcW w:type="dxa" w:w="3285"/>
          </w:tcPr>
          <w:p>
            <w:r/>
            <w:r>
              <w:rPr>
                <w:rFonts w:ascii="游ゴシック" w:hAnsi="游ゴシック" w:eastAsia="游ゴシック"/>
                <w:sz w:val="17"/>
              </w:rPr>
              <w:t>認定を受けながら未利用の者が504人（認定者の25.7％）。要因の一つに経済的理由がある</w:t>
            </w:r>
          </w:p>
        </w:tc>
        <w:tc>
          <w:tcPr>
            <w:tcW w:type="dxa" w:w="2053"/>
          </w:tcPr>
          <w:p>
            <w:r/>
            <w:r>
              <w:rPr>
                <w:rFonts w:ascii="游ゴシック" w:hAnsi="游ゴシック" w:eastAsia="游ゴシック"/>
                <w:sz w:val="17"/>
              </w:rPr>
              <w:t>なし（低所得者支援は保険料の軽減にとどまる）</w:t>
            </w:r>
          </w:p>
        </w:tc>
        <w:tc>
          <w:tcPr>
            <w:tcW w:type="dxa" w:w="2771"/>
          </w:tcPr>
          <w:p>
            <w:r/>
            <w:r>
              <w:rPr>
                <w:rFonts w:ascii="游ゴシック" w:hAnsi="游ゴシック" w:eastAsia="游ゴシック"/>
                <w:sz w:val="17"/>
              </w:rPr>
              <w:t>基本目標3又は第6章第7節で扱う［要協議］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介護サービス利用率74.3％（平成28年度82.2％から7.9ポイント低下）。全国平均の39.2％にとどまる</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評価できない施策の存在：19施策のうち5施策（1-4虐待防止、2-5地域ケア会議、3-4地域支援事業の連動、4-1生産性向上、4-2事業者指導）は、調査の裏づけも代表KPIもありません。第10期では、指標を新設するか、他の施策に統合するかを施策ごとに定めます。</w:t>
      </w:r>
    </w:p>
    <w:p>
      <w:pPr>
        <w:pStyle w:val="ListBullet"/>
        <w:spacing w:after="40"/>
      </w:pPr>
      <w:r>
        <w:rPr>
          <w:rFonts w:ascii="游ゴシック" w:hAnsi="游ゴシック" w:eastAsia="游ゴシック"/>
          <w:sz w:val="20"/>
        </w:rPr>
        <w:t>施策の空白：調査に明確な所見があるのに施策がない領域が5つあります（移動・交通、経済的理由による未利用、人生の最終段階における意思決定支援、身寄りのない高齢者、未利用認定者への働きかけ）。第10期の施策体系の設計はここから始め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第9稿ま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第9稿までの定義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必要サービス未充足率</w:t>
            </w:r>
          </w:p>
        </w:tc>
        <w:tc>
          <w:tcPr>
            <w:tcW w:type="dxa" w:w="2462"/>
          </w:tcPr>
          <w:p>
            <w:r/>
            <w:r>
              <w:rPr>
                <w:rFonts w:ascii="游ゴシック" w:hAnsi="游ゴシック" w:eastAsia="游ゴシック"/>
                <w:sz w:val="17"/>
              </w:rPr>
              <w:t>区域内で提供できないサービスが必要と判断された利用者の割合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在宅生活改善調査から新たに定義したものです。母集団は在宅生活の維持が難しい利用者であり、在宅利用者全体の未充足率ではありません</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