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翌日（10月2日（金））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町・国・県の回答を待たずに進められる作業は15件・41.0時間分あります。</w:t>
      </w:r>
      <w:r>
        <w:rPr>
          <w:rFonts w:ascii="游ゴシック" w:hAnsi="游ゴシック" w:eastAsia="游ゴシック"/>
          <w:b w:val="0"/>
          <w:i w:val="0"/>
          <w:sz w:val="21"/>
        </w:rPr>
        <w:t>令和8年10月2日はこのうち3件（7.5時間）に着手します。</w:t>
      </w:r>
    </w:p>
    <w:p>
      <w:pPr>
        <w:spacing w:before="60" w:after="60"/>
      </w:pPr>
      <w:r>
        <w:rPr>
          <w:rFonts w:ascii="游ゴシック" w:hAnsi="游ゴシック" w:eastAsia="游ゴシック"/>
          <w:b/>
          <w:i w:val="0"/>
          <w:sz w:val="21"/>
        </w:rPr>
        <w:t>進捗の乖離を測ったところ、高齢者計画は予定より+15.8ポイント、障がい計画は-16.1ポイントでした。</w:t>
      </w:r>
      <w:r>
        <w:rPr>
          <w:rFonts w:ascii="游ゴシック" w:hAnsi="游ゴシック" w:eastAsia="游ゴシック"/>
          <w:b/>
          <w:i w:val="0"/>
          <w:sz w:val="21"/>
        </w:rPr>
        <w:t>障がい計画の遅れが大きく、期限を過ぎてなお終わっていない作業が9件あります。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令和9年2月下旬の校了は動かせないため、12月までに印刷を発注する必要がある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サービス単価。当方は令和7年度で固定しているため、実績の趨勢（年率＋1.13％）で置くと標準給付費が3.43％・保険料が月額211円上がる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76</w:t>
            </w:r>
          </w:p>
        </w:tc>
        <w:tc>
          <w:tcPr>
            <w:tcW w:type="dxa" w:w="1247"/>
            <w:vAlign w:val="center"/>
          </w:tcPr>
          <w:p>
            <w:pPr>
              <w:spacing w:before="20" w:after="20"/>
              <w:jc w:val="right"/>
            </w:pPr>
            <w:r>
              <w:rPr>
                <w:rFonts w:ascii="游ゴシック" w:hAnsi="游ゴシック" w:eastAsia="游ゴシック"/>
                <w:b w:val="0"/>
                <w:i w:val="0"/>
                <w:sz w:val="17"/>
              </w:rPr>
              <w:t>53.3％</w:t>
            </w:r>
          </w:p>
        </w:tc>
        <w:tc>
          <w:tcPr>
            <w:tcW w:type="dxa" w:w="1247"/>
            <w:vAlign w:val="center"/>
          </w:tcPr>
          <w:p>
            <w:pPr>
              <w:spacing w:before="20" w:after="20"/>
              <w:jc w:val="right"/>
            </w:pPr>
            <w:r>
              <w:rPr>
                <w:rFonts w:ascii="游ゴシック" w:hAnsi="游ゴシック" w:eastAsia="游ゴシック"/>
                <w:b w:val="0"/>
                <w:i w:val="0"/>
                <w:sz w:val="17"/>
              </w:rPr>
              <w:t>69.1％</w:t>
            </w:r>
          </w:p>
        </w:tc>
        <w:tc>
          <w:tcPr>
            <w:tcW w:type="dxa" w:w="1020"/>
            <w:vAlign w:val="center"/>
          </w:tcPr>
          <w:p>
            <w:pPr>
              <w:spacing w:before="20" w:after="20"/>
              <w:jc w:val="right"/>
            </w:pPr>
            <w:r>
              <w:rPr>
                <w:rFonts w:ascii="游ゴシック" w:hAnsi="游ゴシック" w:eastAsia="游ゴシック"/>
                <w:b w:val="0"/>
                <w:i w:val="0"/>
                <w:sz w:val="17"/>
              </w:rPr>
              <w:t>+15.8pt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49.2％</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-16.1pt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3件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高齢者計画は予定を+15.8ポイント上回っています。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一方で障がい計画は-16.1ポイント下回っており、こちらが本業務全体の弱いところです。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2-10</w:t>
            </w:r>
          </w:p>
        </w:tc>
        <w:tc>
          <w:tcPr>
            <w:tcW w:type="dxa" w:w="1928"/>
            <w:vAlign w:val="center"/>
          </w:tcPr>
          <w:p>
            <w:pPr>
              <w:spacing w:before="20" w:after="20"/>
            </w:pPr>
            <w:r>
              <w:rPr>
                <w:rFonts w:ascii="游ゴシック" w:hAnsi="游ゴシック" w:eastAsia="游ゴシック"/>
                <w:b w:val="0"/>
                <w:i w:val="0"/>
                <w:sz w:val="17"/>
              </w:rPr>
              <w:t>見える化 優先度C分野の出力</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残るのは医療提供体制・リハビリ提供体制の出力。見える化システムへのアクセスは確保できている（9月28日に推計が通った）</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67％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67％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w:t>
            </w:r>
          </w:p>
        </w:tc>
      </w:tr>
    </w:tbl>
    <w:p>
      <w:pPr>
        <w:spacing w:after="40"/>
      </w:pPr>
    </w:p>
    <w:p>
      <w:pPr>
        <w:keepNext/>
        <w:spacing w:before="180" w:after="80"/>
      </w:pPr>
      <w:r>
        <w:rPr>
          <w:rFonts w:ascii="游ゴシック" w:hAnsi="游ゴシック" w:eastAsia="游ゴシック"/>
          <w:b/>
          <w:i w:val="0"/>
          <w:color w:val="1F4D78"/>
          <w:sz w:val="22"/>
        </w:rPr>
        <w:t>障がい計画（12件）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67％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障がい計画の遅れ12件は、すべて町からの3点に連なっています。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町・国・県の回答を待たずに進められる作業は15件、合計41.0時間（1日8.0時間として約5.1日）です。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381"/>
        <w:gridCol w:w="4649"/>
        <w:gridCol w:w="680"/>
        <w:gridCol w:w="147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着手日</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381"/>
            <w:vAlign w:val="center"/>
          </w:tcPr>
          <w:p>
            <w:pPr>
              <w:spacing w:before="20" w:after="20"/>
            </w:pPr>
            <w:r>
              <w:rPr>
                <w:rFonts w:ascii="游ゴシック" w:hAnsi="游ゴシック" w:eastAsia="游ゴシック"/>
                <w:b w:val="0"/>
                <w:i w:val="0"/>
                <w:sz w:val="17"/>
              </w:rPr>
              <w:t>工程変更協議資料の改訂（高齢者・障がい）</w:t>
            </w:r>
          </w:p>
        </w:tc>
        <w:tc>
          <w:tcPr>
            <w:tcW w:type="dxa" w:w="464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80"/>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10月2日（金）</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381"/>
            <w:vAlign w:val="center"/>
          </w:tcPr>
          <w:p>
            <w:pPr>
              <w:spacing w:before="20" w:after="20"/>
            </w:pPr>
            <w:r>
              <w:rPr>
                <w:rFonts w:ascii="游ゴシック" w:hAnsi="游ゴシック" w:eastAsia="游ゴシック"/>
                <w:b w:val="0"/>
                <w:i w:val="0"/>
                <w:sz w:val="17"/>
              </w:rPr>
              <w:t>要介護度の維持・改善率の図の作成</w:t>
            </w:r>
          </w:p>
        </w:tc>
        <w:tc>
          <w:tcPr>
            <w:tcW w:type="dxa" w:w="464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10月2日（金）</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381"/>
            <w:vAlign w:val="center"/>
          </w:tcPr>
          <w:p>
            <w:pPr>
              <w:spacing w:before="20" w:after="20"/>
            </w:pPr>
            <w:r>
              <w:rPr>
                <w:rFonts w:ascii="游ゴシック" w:hAnsi="游ゴシック" w:eastAsia="游ゴシック"/>
                <w:b w:val="0"/>
                <w:i w:val="0"/>
                <w:sz w:val="17"/>
              </w:rPr>
              <w:t>中長期（令和22年度）の給付費の見通し</w:t>
            </w:r>
          </w:p>
        </w:tc>
        <w:tc>
          <w:tcPr>
            <w:tcW w:type="dxa" w:w="464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80"/>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10月2日（金）</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381"/>
            <w:vAlign w:val="center"/>
          </w:tcPr>
          <w:p>
            <w:pPr>
              <w:spacing w:before="20" w:after="20"/>
            </w:pPr>
            <w:r>
              <w:rPr>
                <w:rFonts w:ascii="游ゴシック" w:hAnsi="游ゴシック" w:eastAsia="游ゴシック"/>
                <w:b w:val="0"/>
                <w:i w:val="0"/>
                <w:sz w:val="17"/>
              </w:rPr>
              <w:t>素案 第4章の各施策の記載を5項目にそろえる</w:t>
            </w:r>
          </w:p>
        </w:tc>
        <w:tc>
          <w:tcPr>
            <w:tcW w:type="dxa" w:w="4649"/>
            <w:vAlign w:val="center"/>
          </w:tcPr>
          <w:p>
            <w:pPr>
              <w:spacing w:before="20" w:after="20"/>
            </w:pPr>
            <w:r>
              <w:rPr>
                <w:rFonts w:ascii="游ゴシック" w:hAnsi="游ゴシック" w:eastAsia="游ゴシック"/>
                <w:b/>
                <w:i w:val="0"/>
                <w:sz w:val="17"/>
              </w:rPr>
              <w:t>他団体の計画との対比で△とした11件の中身。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1474"/>
            <w:vAlign w:val="center"/>
          </w:tcPr>
          <w:p>
            <w:pPr>
              <w:spacing w:before="20" w:after="20"/>
            </w:pPr>
            <w:r>
              <w:rPr>
                <w:rFonts w:ascii="游ゴシック" w:hAnsi="游ゴシック" w:eastAsia="游ゴシック"/>
                <w:b w:val="0"/>
                <w:i w:val="0"/>
                <w:sz w:val="17"/>
              </w:rPr>
              <w:t>10月5日（月）</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381"/>
            <w:vAlign w:val="center"/>
          </w:tcPr>
          <w:p>
            <w:pPr>
              <w:spacing w:before="20" w:after="20"/>
            </w:pPr>
            <w:r>
              <w:rPr>
                <w:rFonts w:ascii="游ゴシック" w:hAnsi="游ゴシック" w:eastAsia="游ゴシック"/>
                <w:b w:val="0"/>
                <w:i w:val="0"/>
                <w:sz w:val="17"/>
              </w:rPr>
              <w:t>図表番号一覧の作成</w:t>
            </w:r>
          </w:p>
        </w:tc>
        <w:tc>
          <w:tcPr>
            <w:tcW w:type="dxa" w:w="464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80"/>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10月5日（月）</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381"/>
            <w:vAlign w:val="center"/>
          </w:tcPr>
          <w:p>
            <w:pPr>
              <w:spacing w:before="20" w:after="20"/>
            </w:pPr>
            <w:r>
              <w:rPr>
                <w:rFonts w:ascii="游ゴシック" w:hAnsi="游ゴシック" w:eastAsia="游ゴシック"/>
                <w:b w:val="0"/>
                <w:i w:val="0"/>
                <w:sz w:val="17"/>
              </w:rPr>
              <w:t>介護保険制度改正の内容の節</w:t>
            </w:r>
          </w:p>
        </w:tc>
        <w:tc>
          <w:tcPr>
            <w:tcW w:type="dxa" w:w="464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381"/>
            <w:vAlign w:val="center"/>
          </w:tcPr>
          <w:p>
            <w:pPr>
              <w:spacing w:before="20" w:after="20"/>
            </w:pPr>
            <w:r>
              <w:rPr>
                <w:rFonts w:ascii="游ゴシック" w:hAnsi="游ゴシック" w:eastAsia="游ゴシック"/>
                <w:b w:val="0"/>
                <w:i w:val="0"/>
                <w:sz w:val="17"/>
              </w:rPr>
              <w:t>単価の置き方の感度分析の文書化</w:t>
            </w:r>
          </w:p>
        </w:tc>
        <w:tc>
          <w:tcPr>
            <w:tcW w:type="dxa" w:w="464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（報酬改定のない年でも年率＋1.09％、改定のあった令和6年度は＋1.25％）。単価を令和7年度で固定している当方の置き方は過小側であり、実績の趨勢で置くと保険料が月額211円上がる。</w:t>
            </w:r>
            <w:r>
              <w:rPr>
                <w:rFonts w:ascii="游ゴシック" w:hAnsi="游ゴシック" w:eastAsia="游ゴシック"/>
                <w:b/>
                <w:i w:val="0"/>
                <w:sz w:val="17"/>
              </w:rPr>
              <w:t>保険料の決定（決定1）の判断材料になる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10月6日（火）</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381"/>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464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1474"/>
            <w:vAlign w:val="center"/>
          </w:tcPr>
          <w:p>
            <w:pPr>
              <w:spacing w:before="20" w:after="20"/>
            </w:pPr>
            <w:r>
              <w:rPr>
                <w:rFonts w:ascii="游ゴシック" w:hAnsi="游ゴシック" w:eastAsia="游ゴシック"/>
                <w:b w:val="0"/>
                <w:i w:val="0"/>
                <w:sz w:val="17"/>
              </w:rPr>
              <w:t>10月6日（火）</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381"/>
            <w:vAlign w:val="center"/>
          </w:tcPr>
          <w:p>
            <w:pPr>
              <w:spacing w:before="20" w:after="20"/>
            </w:pPr>
            <w:r>
              <w:rPr>
                <w:rFonts w:ascii="游ゴシック" w:hAnsi="游ゴシック" w:eastAsia="游ゴシック"/>
                <w:b w:val="0"/>
                <w:i w:val="0"/>
                <w:sz w:val="17"/>
              </w:rPr>
              <w:t>見える化 医療提供体制・リハビリ提供体制の出力</w:t>
            </w:r>
          </w:p>
        </w:tc>
        <w:tc>
          <w:tcPr>
            <w:tcW w:type="dxa" w:w="4649"/>
            <w:vAlign w:val="center"/>
          </w:tcPr>
          <w:p>
            <w:pPr>
              <w:spacing w:before="20" w:after="20"/>
            </w:pPr>
            <w:r>
              <w:rPr>
                <w:rFonts w:ascii="游ゴシック" w:hAnsi="游ゴシック" w:eastAsia="游ゴシック"/>
                <w:b/>
                <w:i w:val="0"/>
                <w:sz w:val="17"/>
              </w:rPr>
              <w:t>システムへのアクセスは確保できている（9月28日に推計が通った）。</w:t>
            </w:r>
            <w:r>
              <w:rPr>
                <w:rFonts w:ascii="游ゴシック" w:hAnsi="游ゴシック" w:eastAsia="游ゴシック"/>
                <w:b w:val="0"/>
                <w:i w:val="0"/>
                <w:sz w:val="17"/>
              </w:rPr>
              <w:t>交付金の支援Ⅲ（55点）の裏づけを厚くできる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10月6日（火）</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381"/>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464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80"/>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10月7日（水）</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381"/>
            <w:vAlign w:val="center"/>
          </w:tcPr>
          <w:p>
            <w:pPr>
              <w:spacing w:before="20" w:after="20"/>
            </w:pPr>
            <w:r>
              <w:rPr>
                <w:rFonts w:ascii="游ゴシック" w:hAnsi="游ゴシック" w:eastAsia="游ゴシック"/>
                <w:b w:val="0"/>
                <w:i w:val="0"/>
                <w:sz w:val="17"/>
              </w:rPr>
              <w:t>協議会 第2回の資料の骨格</w:t>
            </w:r>
          </w:p>
        </w:tc>
        <w:tc>
          <w:tcPr>
            <w:tcW w:type="dxa" w:w="464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1474"/>
            <w:vAlign w:val="center"/>
          </w:tcPr>
          <w:p>
            <w:pPr>
              <w:spacing w:before="20" w:after="20"/>
            </w:pPr>
            <w:r>
              <w:rPr>
                <w:rFonts w:ascii="游ゴシック" w:hAnsi="游ゴシック" w:eastAsia="游ゴシック"/>
                <w:b w:val="0"/>
                <w:i w:val="0"/>
                <w:sz w:val="17"/>
              </w:rPr>
              <w:t>10月7日（水）</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381"/>
            <w:vAlign w:val="center"/>
          </w:tcPr>
          <w:p>
            <w:pPr>
              <w:spacing w:before="20" w:after="20"/>
            </w:pPr>
            <w:r>
              <w:rPr>
                <w:rFonts w:ascii="游ゴシック" w:hAnsi="游ゴシック" w:eastAsia="游ゴシック"/>
                <w:b w:val="0"/>
                <w:i w:val="0"/>
                <w:sz w:val="17"/>
              </w:rPr>
              <w:t>印刷の仕様書と見積依頼の様式</w:t>
            </w:r>
          </w:p>
        </w:tc>
        <w:tc>
          <w:tcPr>
            <w:tcW w:type="dxa" w:w="464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12月までに発注しないと令和9年2月下旬の校了に間に合わない</w:t>
            </w:r>
          </w:p>
        </w:tc>
        <w:tc>
          <w:tcPr>
            <w:tcW w:type="dxa" w:w="680"/>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381"/>
            <w:vAlign w:val="center"/>
          </w:tcPr>
          <w:p>
            <w:pPr>
              <w:spacing w:before="20" w:after="20"/>
            </w:pPr>
            <w:r>
              <w:rPr>
                <w:rFonts w:ascii="游ゴシック" w:hAnsi="游ゴシック" w:eastAsia="游ゴシック"/>
                <w:b w:val="0"/>
                <w:i w:val="0"/>
                <w:sz w:val="17"/>
              </w:rPr>
              <w:t>障がい計画の素案の改訂（第2版）</w:t>
            </w:r>
          </w:p>
        </w:tc>
        <w:tc>
          <w:tcPr>
            <w:tcW w:type="dxa" w:w="464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1474"/>
            <w:vAlign w:val="center"/>
          </w:tcPr>
          <w:p>
            <w:pPr>
              <w:spacing w:before="20" w:after="20"/>
            </w:pPr>
            <w:r>
              <w:rPr>
                <w:rFonts w:ascii="游ゴシック" w:hAnsi="游ゴシック" w:eastAsia="游ゴシック"/>
                <w:b w:val="0"/>
                <w:i w:val="0"/>
                <w:sz w:val="17"/>
              </w:rPr>
              <w:t>10月8日（木）</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381"/>
            <w:vAlign w:val="center"/>
          </w:tcPr>
          <w:p>
            <w:pPr>
              <w:spacing w:before="20" w:after="20"/>
            </w:pPr>
            <w:r>
              <w:rPr>
                <w:rFonts w:ascii="游ゴシック" w:hAnsi="游ゴシック" w:eastAsia="游ゴシック"/>
                <w:b w:val="0"/>
                <w:i w:val="0"/>
                <w:sz w:val="17"/>
              </w:rPr>
              <w:t>概要版（8頁）のページ割りと図の割付</w:t>
            </w:r>
          </w:p>
        </w:tc>
        <w:tc>
          <w:tcPr>
            <w:tcW w:type="dxa" w:w="464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10月8日（木）</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381"/>
            <w:vAlign w:val="center"/>
          </w:tcPr>
          <w:p>
            <w:pPr>
              <w:spacing w:before="20" w:after="20"/>
            </w:pPr>
            <w:r>
              <w:rPr>
                <w:rFonts w:ascii="游ゴシック" w:hAnsi="游ゴシック" w:eastAsia="游ゴシック"/>
                <w:b w:val="0"/>
                <w:i w:val="0"/>
                <w:sz w:val="17"/>
              </w:rPr>
              <w:t>一次資料との突合の対象を広げる</w:t>
            </w:r>
          </w:p>
        </w:tc>
        <w:tc>
          <w:tcPr>
            <w:tcW w:type="dxa" w:w="464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10月9日（金）</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翌日（10月2日（金））</w:t>
      </w:r>
      <w:bookmarkEnd w:id="119"/>
    </w:p>
    <w:p>
      <w:pPr>
        <w:spacing w:before="60" w:after="60"/>
      </w:pPr>
      <w:r>
        <w:rPr>
          <w:rFonts w:ascii="游ゴシック" w:hAnsi="游ゴシック" w:eastAsia="游ゴシック"/>
          <w:b/>
          <w:i w:val="0"/>
          <w:sz w:val="21"/>
        </w:rPr>
        <w:t>3件・7.5時間。いずれも外部の回答を要しません。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T15</w:t>
            </w:r>
          </w:p>
        </w:tc>
        <w:tc>
          <w:tcPr>
            <w:tcW w:type="dxa" w:w="2268"/>
            <w:vAlign w:val="center"/>
          </w:tcPr>
          <w:p>
            <w:pPr>
              <w:spacing w:before="20" w:after="20"/>
            </w:pPr>
            <w:r>
              <w:rPr>
                <w:rFonts w:ascii="游ゴシック" w:hAnsi="游ゴシック" w:eastAsia="游ゴシック"/>
                <w:b w:val="0"/>
                <w:i w:val="0"/>
                <w:sz w:val="17"/>
              </w:rPr>
              <w:t>工程変更協議資料の改訂（高齢者・障がい）</w:t>
            </w:r>
          </w:p>
        </w:tc>
        <w:tc>
          <w:tcPr>
            <w:tcW w:type="dxa" w:w="680"/>
            <w:vAlign w:val="center"/>
          </w:tcPr>
          <w:p>
            <w:pPr>
              <w:spacing w:before="20" w:after="20"/>
              <w:jc w:val="right"/>
            </w:pPr>
            <w:r>
              <w:rPr>
                <w:rFonts w:ascii="游ゴシック" w:hAnsi="游ゴシック" w:eastAsia="游ゴシック"/>
                <w:b w:val="0"/>
                <w:i w:val="0"/>
                <w:sz w:val="17"/>
              </w:rPr>
              <w:t>3.0</w:t>
            </w:r>
          </w:p>
        </w:tc>
        <w:tc>
          <w:tcPr>
            <w:tcW w:type="dxa" w:w="5726"/>
            <w:vAlign w:val="center"/>
          </w:tcPr>
          <w:p>
            <w:pPr>
              <w:spacing w:before="20" w:after="20"/>
            </w:pPr>
            <w:r>
              <w:rPr>
                <w:rFonts w:ascii="游ゴシック" w:hAnsi="游ゴシック" w:eastAsia="游ゴシック"/>
                <w:b/>
                <w:i w:val="0"/>
                <w:sz w:val="17"/>
              </w:rPr>
              <w:t>期限を過ぎてなお終わっていない作業が12件あり、うち3件は2か月超過している。</w:t>
            </w:r>
            <w:r>
              <w:rPr>
                <w:rFonts w:ascii="游ゴシック" w:hAnsi="游ゴシック" w:eastAsia="游ゴシック"/>
                <w:b w:val="0"/>
                <w:i w:val="0"/>
                <w:sz w:val="17"/>
              </w:rPr>
              <w:t>遅れている作業の大半は町の回答待ちで受託者には動かせないが、</w:t>
            </w:r>
            <w:r>
              <w:rPr>
                <w:rFonts w:ascii="游ゴシック" w:hAnsi="游ゴシック" w:eastAsia="游ゴシック"/>
                <w:b/>
                <w:i w:val="0"/>
                <w:sz w:val="17"/>
              </w:rPr>
              <w:t>工程を引き直して差し上げることは受託者の側でできる</w:t>
            </w:r>
            <w:r>
              <w:rPr>
                <w:rFonts w:ascii="游ゴシック" w:hAnsi="游ゴシック" w:eastAsia="游ゴシック"/>
                <w:b w:val="0"/>
                <w:i w:val="0"/>
                <w:sz w:val="17"/>
              </w:rPr>
              <w:t>（仕様書8①）。放っておくと遅れが見えないまま積み上がる</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w:t>
            </w:r>
          </w:p>
        </w:tc>
        <w:tc>
          <w:tcPr>
            <w:tcW w:type="dxa" w:w="2268"/>
            <w:vAlign w:val="center"/>
          </w:tcPr>
          <w:p>
            <w:pPr>
              <w:spacing w:before="20" w:after="20"/>
            </w:pPr>
            <w:r>
              <w:rPr>
                <w:rFonts w:ascii="游ゴシック" w:hAnsi="游ゴシック" w:eastAsia="游ゴシック"/>
                <w:b w:val="0"/>
                <w:i w:val="0"/>
                <w:sz w:val="17"/>
              </w:rPr>
              <w:t>要介護度の維持・改善率の図の作成</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手元の見える化Ｂ系列だけで完結する。</w:t>
            </w:r>
            <w:r>
              <w:rPr>
                <w:rFonts w:ascii="游ゴシック" w:hAnsi="游ゴシック" w:eastAsia="游ゴシック"/>
                <w:b w:val="0"/>
                <w:i w:val="0"/>
                <w:sz w:val="17"/>
              </w:rPr>
              <w:t>図表データ管理台帳の「足りない図」を6件から5件に減らし、台帳の不適合を1件消せる</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T4</w:t>
            </w:r>
          </w:p>
        </w:tc>
        <w:tc>
          <w:tcPr>
            <w:tcW w:type="dxa" w:w="2268"/>
            <w:vAlign w:val="center"/>
          </w:tcPr>
          <w:p>
            <w:pPr>
              <w:spacing w:before="20" w:after="20"/>
            </w:pPr>
            <w:r>
              <w:rPr>
                <w:rFonts w:ascii="游ゴシック" w:hAnsi="游ゴシック" w:eastAsia="游ゴシック"/>
                <w:b w:val="0"/>
                <w:i w:val="0"/>
                <w:sz w:val="17"/>
              </w:rPr>
              <w:t>中長期（令和22年度）の給付費の見通し</w:t>
            </w:r>
          </w:p>
        </w:tc>
        <w:tc>
          <w:tcPr>
            <w:tcW w:type="dxa" w:w="680"/>
            <w:vAlign w:val="center"/>
          </w:tcPr>
          <w:p>
            <w:pPr>
              <w:spacing w:before="20" w:after="20"/>
              <w:jc w:val="right"/>
            </w:pPr>
            <w:r>
              <w:rPr>
                <w:rFonts w:ascii="游ゴシック" w:hAnsi="游ゴシック" w:eastAsia="游ゴシック"/>
                <w:b w:val="0"/>
                <w:i w:val="0"/>
                <w:sz w:val="17"/>
              </w:rPr>
              <w:t>2.5</w:t>
            </w:r>
          </w:p>
        </w:tc>
        <w:tc>
          <w:tcPr>
            <w:tcW w:type="dxa" w:w="5726"/>
            <w:vAlign w:val="center"/>
          </w:tcPr>
          <w:p>
            <w:pPr>
              <w:spacing w:before="20" w:after="20"/>
            </w:pPr>
            <w:r>
              <w:rPr>
                <w:rFonts w:ascii="游ゴシック" w:hAnsi="游ゴシック" w:eastAsia="游ゴシック"/>
                <w:b/>
                <w:i w:val="0"/>
                <w:sz w:val="17"/>
              </w:rPr>
              <w:t>他団体の計画との対比で×とした14件のうち、手元のデータだけで埋まる最大のもの。</w:t>
            </w:r>
            <w:r>
              <w:rPr>
                <w:rFonts w:ascii="游ゴシック" w:hAnsi="游ゴシック" w:eastAsia="游ゴシック"/>
                <w:b w:val="0"/>
                <w:i w:val="0"/>
                <w:sz w:val="17"/>
              </w:rPr>
              <w:t>推計人口と年齢階層別認定率はそろっている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T2</w:t>
            </w:r>
          </w:p>
        </w:tc>
        <w:tc>
          <w:tcPr>
            <w:tcW w:type="dxa" w:w="6066"/>
            <w:vAlign w:val="center"/>
          </w:tcPr>
          <w:p>
            <w:pPr>
              <w:spacing w:before="20" w:after="20"/>
            </w:pPr>
            <w:r>
              <w:rPr>
                <w:rFonts w:ascii="游ゴシック" w:hAnsi="游ゴシック" w:eastAsia="游ゴシック"/>
                <w:b w:val="0"/>
                <w:i w:val="0"/>
                <w:sz w:val="17"/>
              </w:rPr>
              <w:t>素案 第4章の各施策の記載を5項目にそろえる</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T3</w:t>
            </w:r>
          </w:p>
        </w:tc>
        <w:tc>
          <w:tcPr>
            <w:tcW w:type="dxa" w:w="6066"/>
            <w:vAlign w:val="center"/>
          </w:tcPr>
          <w:p>
            <w:pPr>
              <w:spacing w:before="20" w:after="20"/>
            </w:pPr>
            <w:r>
              <w:rPr>
                <w:rFonts w:ascii="游ゴシック" w:hAnsi="游ゴシック" w:eastAsia="游ゴシック"/>
                <w:b w:val="0"/>
                <w:i w:val="0"/>
                <w:sz w:val="17"/>
              </w:rPr>
              <w:t>図表番号一覧の作成</w:t>
            </w:r>
          </w:p>
        </w:tc>
        <w:tc>
          <w:tcPr>
            <w:tcW w:type="dxa" w:w="1247"/>
            <w:vAlign w:val="center"/>
          </w:tcPr>
          <w:p>
            <w:pPr>
              <w:spacing w:before="20" w:after="20"/>
              <w:jc w:val="right"/>
            </w:pPr>
            <w:r>
              <w:rPr>
                <w:rFonts w:ascii="游ゴシック" w:hAnsi="游ゴシック" w:eastAsia="游ゴシック"/>
                <w:b w:val="0"/>
                <w:i w:val="0"/>
                <w:sz w:val="17"/>
              </w:rPr>
              <w:t>1.5</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T5</w:t>
            </w:r>
          </w:p>
        </w:tc>
        <w:tc>
          <w:tcPr>
            <w:tcW w:type="dxa" w:w="6066"/>
            <w:vAlign w:val="center"/>
          </w:tcPr>
          <w:p>
            <w:pPr>
              <w:spacing w:before="20" w:after="20"/>
            </w:pPr>
            <w:r>
              <w:rPr>
                <w:rFonts w:ascii="游ゴシック" w:hAnsi="游ゴシック" w:eastAsia="游ゴシック"/>
                <w:b w:val="0"/>
                <w:i w:val="0"/>
                <w:sz w:val="17"/>
              </w:rPr>
              <w:t>介護保険制度改正の内容の節</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10月6日（火）</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T10</w:t>
            </w:r>
          </w:p>
        </w:tc>
        <w:tc>
          <w:tcPr>
            <w:tcW w:type="dxa" w:w="6066"/>
            <w:vAlign w:val="center"/>
          </w:tcPr>
          <w:p>
            <w:pPr>
              <w:spacing w:before="20" w:after="20"/>
            </w:pPr>
            <w:r>
              <w:rPr>
                <w:rFonts w:ascii="游ゴシック" w:hAnsi="游ゴシック" w:eastAsia="游ゴシック"/>
                <w:b w:val="0"/>
                <w:i w:val="0"/>
                <w:sz w:val="17"/>
              </w:rPr>
              <w:t>単価の置き方の感度分析の文書化</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10月6日（火）</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T7</w:t>
            </w:r>
          </w:p>
        </w:tc>
        <w:tc>
          <w:tcPr>
            <w:tcW w:type="dxa" w:w="6066"/>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10月6日（火）</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T6</w:t>
            </w:r>
          </w:p>
        </w:tc>
        <w:tc>
          <w:tcPr>
            <w:tcW w:type="dxa" w:w="6066"/>
            <w:vAlign w:val="center"/>
          </w:tcPr>
          <w:p>
            <w:pPr>
              <w:spacing w:before="20" w:after="20"/>
            </w:pPr>
            <w:r>
              <w:rPr>
                <w:rFonts w:ascii="游ゴシック" w:hAnsi="游ゴシック" w:eastAsia="游ゴシック"/>
                <w:b w:val="0"/>
                <w:i w:val="0"/>
                <w:sz w:val="17"/>
              </w:rPr>
              <w:t>見える化 医療提供体制・リハビリ提供体制の出力</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T8</w:t>
            </w:r>
          </w:p>
        </w:tc>
        <w:tc>
          <w:tcPr>
            <w:tcW w:type="dxa" w:w="6066"/>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1247"/>
            <w:vAlign w:val="center"/>
          </w:tcPr>
          <w:p>
            <w:pPr>
              <w:spacing w:before="20" w:after="20"/>
              <w:jc w:val="right"/>
            </w:pPr>
            <w:r>
              <w:rPr>
                <w:rFonts w:ascii="游ゴシック" w:hAnsi="游ゴシック" w:eastAsia="游ゴシック"/>
                <w:b w:val="0"/>
                <w:i w:val="0"/>
                <w:sz w:val="17"/>
              </w:rPr>
              <w:t>2.5</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T9</w:t>
            </w:r>
          </w:p>
        </w:tc>
        <w:tc>
          <w:tcPr>
            <w:tcW w:type="dxa" w:w="6066"/>
            <w:vAlign w:val="center"/>
          </w:tcPr>
          <w:p>
            <w:pPr>
              <w:spacing w:before="20" w:after="20"/>
            </w:pPr>
            <w:r>
              <w:rPr>
                <w:rFonts w:ascii="游ゴシック" w:hAnsi="游ゴシック" w:eastAsia="游ゴシック"/>
                <w:b w:val="0"/>
                <w:i w:val="0"/>
                <w:sz w:val="17"/>
              </w:rPr>
              <w:t>協議会 第2回の資料の骨格</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T13</w:t>
            </w:r>
          </w:p>
        </w:tc>
        <w:tc>
          <w:tcPr>
            <w:tcW w:type="dxa" w:w="6066"/>
            <w:vAlign w:val="center"/>
          </w:tcPr>
          <w:p>
            <w:pPr>
              <w:spacing w:before="20" w:after="20"/>
            </w:pPr>
            <w:r>
              <w:rPr>
                <w:rFonts w:ascii="游ゴシック" w:hAnsi="游ゴシック" w:eastAsia="游ゴシック"/>
                <w:b w:val="0"/>
                <w:i w:val="0"/>
                <w:sz w:val="17"/>
              </w:rPr>
              <w:t>印刷の仕様書と見積依頼の様式</w:t>
            </w:r>
          </w:p>
        </w:tc>
        <w:tc>
          <w:tcPr>
            <w:tcW w:type="dxa" w:w="1247"/>
            <w:vAlign w:val="center"/>
          </w:tcPr>
          <w:p>
            <w:pPr>
              <w:spacing w:before="20" w:after="20"/>
              <w:jc w:val="right"/>
            </w:pPr>
            <w:r>
              <w:rPr>
                <w:rFonts w:ascii="游ゴシック" w:hAnsi="游ゴシック" w:eastAsia="游ゴシック"/>
                <w:b w:val="0"/>
                <w:i w:val="0"/>
                <w:sz w:val="17"/>
              </w:rPr>
              <w:t>1.5</w:t>
            </w:r>
          </w:p>
        </w:tc>
      </w:tr>
      <w:tr>
        <w:tc>
          <w:tcPr>
            <w:tcW w:type="dxa" w:w="1361"/>
            <w:vAlign w:val="center"/>
          </w:tcPr>
          <w:p>
            <w:pPr>
              <w:spacing w:before="20" w:after="20"/>
            </w:pPr>
            <w:r>
              <w:rPr>
                <w:rFonts w:ascii="游ゴシック" w:hAnsi="游ゴシック" w:eastAsia="游ゴシック"/>
                <w:b w:val="0"/>
                <w:i w:val="0"/>
                <w:sz w:val="17"/>
              </w:rPr>
              <w:t>10月8日（木）</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r>
        <w:tc>
          <w:tcPr>
            <w:tcW w:type="dxa" w:w="1361"/>
            <w:vAlign w:val="center"/>
          </w:tcPr>
          <w:p>
            <w:pPr>
              <w:spacing w:before="20" w:after="20"/>
            </w:pPr>
            <w:r>
              <w:rPr>
                <w:rFonts w:ascii="游ゴシック" w:hAnsi="游ゴシック" w:eastAsia="游ゴシック"/>
                <w:b w:val="0"/>
                <w:i w:val="0"/>
                <w:sz w:val="17"/>
              </w:rPr>
              <w:t>10月8日（木）</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T11</w:t>
            </w:r>
          </w:p>
        </w:tc>
        <w:tc>
          <w:tcPr>
            <w:tcW w:type="dxa" w:w="6066"/>
            <w:vAlign w:val="center"/>
          </w:tcPr>
          <w:p>
            <w:pPr>
              <w:spacing w:before="20" w:after="20"/>
            </w:pPr>
            <w:r>
              <w:rPr>
                <w:rFonts w:ascii="游ゴシック" w:hAnsi="游ゴシック" w:eastAsia="游ゴシック"/>
                <w:b w:val="0"/>
                <w:i w:val="0"/>
                <w:sz w:val="17"/>
              </w:rPr>
              <w:t>概要版（8頁）のページ割りと図の割付</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10月9日（金）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T14</w:t>
            </w:r>
          </w:p>
        </w:tc>
        <w:tc>
          <w:tcPr>
            <w:tcW w:type="dxa" w:w="6066"/>
            <w:vAlign w:val="center"/>
          </w:tcPr>
          <w:p>
            <w:pPr>
              <w:spacing w:before="20" w:after="20"/>
            </w:pPr>
            <w:r>
              <w:rPr>
                <w:rFonts w:ascii="游ゴシック" w:hAnsi="游ゴシック" w:eastAsia="游ゴシック"/>
                <w:b w:val="0"/>
                <w:i w:val="0"/>
                <w:sz w:val="17"/>
              </w:rPr>
              <w:t>一次資料との突合の対象を広げる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資料：業務進捗管理表（17_業務進捗管理）令和8年10月1日版。高齢者計画のWBS 76作業。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