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サービス見込量は、要介護度別の認定者数に給付実績から求めた利用率と１人１月当たり給付費を乗じて算定します（別冊「サービス見込量の算定　第１次概算」。令和8年9月16日）。本報告書の調査結果は、この算定の直接の入力値ではありません。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令和8年9月に介護保険事業状況報告（年報）令和7年度の要介護度別の明細を収めたことにより、この偏りの大きさと向きを数値で示せるようになりました。本調査の回答者の要介護度の分布は、在宅の認定者（認定者数から施設・居住系サービスの利用者を差し引いたもの）の分布と食い違います（χ二乗＝43.5。自由度6の1%点は16.81）。要介護3は期待6.7人に対し19人（2.8倍）、要支援1は期待18.9人に対し3人（0.16倍）で、中重度の在宅利用者に寄った構成です。本報告書の①の結果は「在宅で困難を抱える方の状況」として引き、在宅の認定者全体の割合としては引きません。</w:t>
      </w:r>
    </w:p>
    <w:p>
      <w:pPr>
        <w:pStyle w:val="note"/>
        <w:spacing w:after="80" w:line="276" w:lineRule="auto"/>
      </w:pPr>
      <w:r>
        <w:rPr>
          <w:b w:val="0"/>
        </w:rPr>
        <w:t>別冊「調査結果と年報実績の突合クロス集計」（令和8年9月11日）に要介護度別の実測値と期待値を掲げています。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ほがらか</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17人（常勤10・非常勤7）</w:t>
            </w:r>
          </w:p>
        </w:tc>
        <w:tc>
          <w:tcPr>
            <w:tcW w:type="dxa" w:w="1134"/>
          </w:tcPr>
          <w:p>
            <w:pPr>
              <w:keepNext/>
              <w:spacing w:after="20" w:before="20"/>
            </w:pPr>
            <w:r/>
            <w:r>
              <w:rPr>
                <w:rFonts w:ascii="BIZ UDPゴシック" w:hAnsi="BIZ UDPゴシック" w:eastAsia="BIZ UDPゴシック"/>
                <w:b w:val="0"/>
                <w:sz w:val="18"/>
              </w:rPr>
              <w:t>5.6人</w:t>
            </w:r>
          </w:p>
        </w:tc>
        <w:tc>
          <w:tcPr>
            <w:tcW w:type="dxa" w:w="2494"/>
          </w:tcPr>
          <w:p>
            <w:pPr>
              <w:keepNext/>
              <w:spacing w:after="20" w:before="20"/>
            </w:pPr>
            <w:r/>
            <w:r>
              <w:rPr>
                <w:rFonts w:ascii="BIZ UDPゴシック" w:hAnsi="BIZ UDPゴシック" w:eastAsia="BIZ UDPゴシック"/>
                <w:b w:val="0"/>
                <w:sz w:val="18"/>
              </w:rPr>
              <w:t>採用2人・退職6人</w:t>
            </w:r>
          </w:p>
        </w:tc>
      </w:tr>
      <w:tr>
        <w:trPr>
          <w:cantSplit/>
        </w:trPr>
        <w:tc>
          <w:tcPr>
            <w:tcW w:type="dxa" w:w="2835"/>
          </w:tcPr>
          <w:p>
            <w:pPr>
              <w:keepNext/>
              <w:spacing w:after="20" w:before="20"/>
            </w:pPr>
            <w:r/>
            <w:r>
              <w:rPr>
                <w:rFonts w:ascii="BIZ UDPゴシック" w:hAnsi="BIZ UDPゴシック" w:eastAsia="BIZ UDPゴシック"/>
                <w:b w:val="0"/>
                <w:sz w:val="18"/>
              </w:rPr>
              <w:t>訪問介護ステーションゆう</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6人（常勤5・非常勤1）</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採用1人・退職1人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すべてについて訪問介護員等の実人数を把握しました。合計181人です。「回答のあった３事業所」という代表性の限界は解消しました。10事業所とも本調査の基準日（令和7年4月1日）より前からの指定であり、基準日に開設していなかったことによる未回答ではありません。ただし公表画面の記入日は令和7年10月3日から11月7日までであり、本調査の基準日とは時点が異なります。本報告書では公表画面によるものを「令和7年10〜11月時点」と明記して用います。</w:t>
      </w:r>
    </w:p>
    <w:p>
      <w:pPr>
        <w:pStyle w:val="note"/>
        <w:spacing w:after="80" w:line="276" w:lineRule="auto"/>
      </w:pPr>
      <w:r>
        <w:rPr>
          <w:b w:val="0"/>
        </w:rPr>
        <w:t>13事業所の前年度の採用者数は合計23人、退職者数は合計28人で、５人の減です。退職が採用を上回るのは、縁結び（採用6人・退職10人）、ほがらか（採用2人・退職6人）を含む５事業所です。ただし公表制度の「前年度」と本調査の「過去1年間」は対象期間の解釈が異なる可能性があるため、代表KPI H14（採用率と離職率の差）にはそのまま用いません。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13事業所について、併設する居住系の住まいの有無を整理しました。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８</w:t>
            </w:r>
          </w:p>
        </w:tc>
        <w:tc>
          <w:tcPr>
            <w:tcW w:type="dxa" w:w="1928"/>
          </w:tcPr>
          <w:p>
            <w:pPr>
              <w:keepNext/>
              <w:spacing w:after="20" w:before="20"/>
            </w:pPr>
            <w:r/>
            <w:r>
              <w:rPr>
                <w:rFonts w:ascii="BIZ UDPゴシック" w:hAnsi="BIZ UDPゴシック" w:eastAsia="BIZ UDPゴシック"/>
                <w:b w:val="0"/>
                <w:sz w:val="18"/>
              </w:rPr>
              <w:t>128人（70.7%）</w:t>
            </w:r>
          </w:p>
        </w:tc>
        <w:tc>
          <w:tcPr>
            <w:tcW w:type="dxa" w:w="1814"/>
          </w:tcPr>
          <w:p>
            <w:pPr>
              <w:keepNext/>
              <w:spacing w:after="20" w:before="20"/>
            </w:pPr>
            <w:r/>
            <w:r>
              <w:rPr>
                <w:rFonts w:ascii="BIZ UDPゴシック" w:hAnsi="BIZ UDPゴシック" w:eastAsia="BIZ UDPゴシック"/>
                <w:b w:val="0"/>
                <w:sz w:val="18"/>
              </w:rPr>
              <w:t>225人（65.0%）</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花時計、フラワー、シルバーハウス、ひばり、縁結び、桜華、恩送り、ゆう</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５</w:t>
            </w:r>
          </w:p>
        </w:tc>
        <w:tc>
          <w:tcPr>
            <w:tcW w:type="dxa" w:w="1928"/>
          </w:tcPr>
          <w:p>
            <w:pPr>
              <w:keepNext/>
              <w:spacing w:after="20" w:before="20"/>
            </w:pPr>
            <w:r/>
            <w:r>
              <w:rPr>
                <w:rFonts w:ascii="BIZ UDPゴシック" w:hAnsi="BIZ UDPゴシック" w:eastAsia="BIZ UDPゴシック"/>
                <w:b w:val="0"/>
                <w:sz w:val="18"/>
              </w:rPr>
              <w:t>53人（29.3%）</w:t>
            </w:r>
          </w:p>
        </w:tc>
        <w:tc>
          <w:tcPr>
            <w:tcW w:type="dxa" w:w="1814"/>
          </w:tcPr>
          <w:p>
            <w:pPr>
              <w:keepNext/>
              <w:spacing w:after="20" w:before="20"/>
            </w:pPr>
            <w:r/>
            <w:r>
              <w:rPr>
                <w:rFonts w:ascii="BIZ UDPゴシック" w:hAnsi="BIZ UDPゴシック" w:eastAsia="BIZ UDPゴシック"/>
                <w:b w:val="0"/>
                <w:sz w:val="18"/>
              </w:rPr>
              <w:t>121人（35.0%）</w:t>
            </w:r>
          </w:p>
        </w:tc>
        <w:tc>
          <w:tcPr>
            <w:tcW w:type="dxa" w:w="4082"/>
          </w:tcPr>
          <w:p>
            <w:pPr>
              <w:keepNext/>
              <w:spacing w:after="20" w:before="20"/>
            </w:pPr>
            <w:r/>
            <w:r>
              <w:rPr>
                <w:rFonts w:ascii="BIZ UDPゴシック" w:hAnsi="BIZ UDPゴシック" w:eastAsia="BIZ UDPゴシック"/>
                <w:b w:val="0"/>
                <w:sz w:val="18"/>
              </w:rPr>
              <w:t>３町の社会福祉協議会の３事業所、ケンセイシャレバレッジ及びほがらか</w:t>
            </w:r>
          </w:p>
        </w:tc>
      </w:tr>
      <w:tr>
        <w:trPr>
          <w:cantSplit/>
        </w:trPr>
        <w:tc>
          <w:tcPr>
            <w:tcW w:type="dxa" w:w="1134"/>
          </w:tcPr>
          <w:p>
            <w:pPr>
              <w:spacing w:after="20" w:before="20"/>
            </w:pPr>
            <w:r/>
            <w:r>
              <w:rPr>
                <w:rFonts w:ascii="BIZ UDPゴシック" w:hAnsi="BIZ UDPゴシック" w:eastAsia="BIZ UDPゴシック"/>
                <w:b w:val="0"/>
                <w:sz w:val="18"/>
              </w:rPr>
              <w:t>計</w:t>
            </w:r>
          </w:p>
        </w:tc>
        <w:tc>
          <w:tcPr>
            <w:tcW w:type="dxa" w:w="794"/>
          </w:tcPr>
          <w:p>
            <w:pPr>
              <w:spacing w:after="20" w:before="20"/>
            </w:pPr>
            <w:r/>
            <w:r>
              <w:rPr>
                <w:rFonts w:ascii="BIZ UDPゴシック" w:hAnsi="BIZ UDPゴシック" w:eastAsia="BIZ UDPゴシック"/>
                <w:b w:val="0"/>
                <w:sz w:val="18"/>
              </w:rPr>
              <w:t>13</w:t>
            </w:r>
          </w:p>
        </w:tc>
        <w:tc>
          <w:tcPr>
            <w:tcW w:type="dxa" w:w="1928"/>
          </w:tcPr>
          <w:p>
            <w:pPr>
              <w:spacing w:after="20" w:before="20"/>
            </w:pPr>
            <w:r/>
            <w:r>
              <w:rPr>
                <w:rFonts w:ascii="BIZ UDPゴシック" w:hAnsi="BIZ UDPゴシック" w:eastAsia="BIZ UDPゴシック"/>
                <w:b w:val="0"/>
                <w:sz w:val="18"/>
              </w:rPr>
              <w:t>181人</w:t>
            </w:r>
          </w:p>
        </w:tc>
        <w:tc>
          <w:tcPr>
            <w:tcW w:type="dxa" w:w="1814"/>
          </w:tcPr>
          <w:p>
            <w:pPr>
              <w:spacing w:after="20" w:before="20"/>
            </w:pPr>
            <w:r/>
            <w:r>
              <w:rPr>
                <w:rFonts w:ascii="BIZ UDPゴシック" w:hAnsi="BIZ UDPゴシック" w:eastAsia="BIZ UDPゴシック"/>
                <w:b w:val="0"/>
                <w:sz w:val="18"/>
              </w:rPr>
              <w:t>346人</w:t>
            </w:r>
          </w:p>
        </w:tc>
        <w:tc>
          <w:tcPr>
            <w:tcW w:type="dxa" w:w="4082"/>
          </w:tcPr>
          <w:p>
            <w:pPr>
              <w:spacing w:after="20" w:before="20"/>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訪問介護員等181人のうち128人（70.7%）が、住宅型有料老人ホーム、サービス付き高齢者向け住宅又は介護付有料老人ホームに併設された事業所に所属しています。利用者346人のうち225人（65.0%）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337.1人</w:t>
            </w:r>
          </w:p>
        </w:tc>
        <w:tc>
          <w:tcPr>
            <w:tcW w:type="dxa" w:w="1814"/>
          </w:tcPr>
          <w:p>
            <w:pPr>
              <w:keepNext/>
              <w:spacing w:after="20" w:before="20"/>
              <w:jc w:val="right"/>
            </w:pPr>
            <w:r/>
            <w:r>
              <w:rPr>
                <w:rFonts w:ascii="BIZ UDPゴシック" w:hAnsi="BIZ UDPゴシック" w:eastAsia="BIZ UDPゴシック"/>
                <w:b w:val="0"/>
                <w:sz w:val="18"/>
              </w:rPr>
              <w:t>352.3人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76.3%</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143.1人</w:t>
            </w:r>
          </w:p>
        </w:tc>
        <w:tc>
          <w:tcPr>
            <w:tcW w:type="dxa" w:w="1814"/>
          </w:tcPr>
          <w:p>
            <w:pPr>
              <w:keepNext/>
              <w:spacing w:after="20" w:before="20"/>
              <w:jc w:val="right"/>
            </w:pPr>
            <w:r/>
            <w:r>
              <w:rPr>
                <w:rFonts w:ascii="BIZ UDPゴシック" w:hAnsi="BIZ UDPゴシック" w:eastAsia="BIZ UDPゴシック"/>
                <w:b w:val="0"/>
                <w:sz w:val="18"/>
              </w:rPr>
              <w:t>149.4人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58.6%</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見込みは別冊「サービス見込量の算定　第１次概算」（令和8年9月16日）によります。計画素案 第６章に反映済みの値と同じです。要介護度別の利用率と１人１月当たり給付費を令和7年度の値で固定した算定であり、前提は確定していません。実績は介護保険事業状況報告（年報）令和7年度の月平均で、保険者（広域連合）を単位として当広域連合の被保険者を数えたものです。</w:t>
      </w:r>
    </w:p>
    <w:p>
      <w:pPr>
        <w:spacing w:after="120" w:line="276" w:lineRule="auto"/>
      </w:pPr>
      <w:r>
        <w:rPr>
          <w:rFonts w:ascii="BIZ UDPゴシック" w:hAnsi="BIZ UDPゴシック" w:eastAsia="BIZ UDPゴシック"/>
          <w:b w:val="0"/>
        </w:rPr>
        <w:t>施設・居住系の見込量は、合計では区域内定員の範囲内に収まります。ただし種別ごとにみると、地域密着型介護老人福祉施設は令和11年度に61.9人となり、定員62人の99.9%に達します。また、区域内の施設には他の保険者の被保険者も入居しており（住所地特例を含む）、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施設の側から数えた在籍者と、保険者の側から数えた受給者は、数える対象が異なるため一致しません。年報は施設の所在地を問わず当広域連合の被保険者を数えるのに対し、居所変更実態調査は保険者を問わず区域内の施設の在籍者を数え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区分</w:t>
            </w:r>
          </w:p>
        </w:tc>
        <w:tc>
          <w:tcPr>
            <w:tcW w:type="dxa" w:w="2381"/>
            <w:shd w:val="clear" w:fill="F2F2F2"/>
          </w:tcPr>
          <w:p>
            <w:pPr>
              <w:keepNext/>
              <w:spacing w:after="20" w:before="20"/>
              <w:jc w:val="center"/>
            </w:pPr>
            <w:r/>
            <w:r>
              <w:rPr>
                <w:rFonts w:ascii="BIZ UDPゴシック" w:hAnsi="BIZ UDPゴシック" w:eastAsia="BIZ UDPゴシック"/>
                <w:b/>
                <w:sz w:val="18"/>
              </w:rPr>
              <w:t>居所変更実態調査の在籍者</w:t>
            </w:r>
          </w:p>
        </w:tc>
        <w:tc>
          <w:tcPr>
            <w:tcW w:type="dxa" w:w="2268"/>
            <w:shd w:val="clear" w:fill="F2F2F2"/>
          </w:tcPr>
          <w:p>
            <w:pPr>
              <w:keepNext/>
              <w:spacing w:after="20" w:before="20"/>
              <w:jc w:val="center"/>
            </w:pPr>
            <w:r/>
            <w:r>
              <w:rPr>
                <w:rFonts w:ascii="BIZ UDPゴシック" w:hAnsi="BIZ UDPゴシック" w:eastAsia="BIZ UDPゴシック"/>
                <w:b/>
                <w:sz w:val="18"/>
              </w:rPr>
              <w:t>年報の受給者（月平均）</w:t>
            </w:r>
          </w:p>
        </w:tc>
        <w:tc>
          <w:tcPr>
            <w:tcW w:type="dxa" w:w="1814"/>
            <w:shd w:val="clear" w:fill="F2F2F2"/>
          </w:tcPr>
          <w:p>
            <w:pPr>
              <w:keepNext/>
              <w:spacing w:after="20" w:before="20"/>
              <w:jc w:val="center"/>
            </w:pPr>
            <w:r/>
            <w:r>
              <w:rPr>
                <w:rFonts w:ascii="BIZ UDPゴシック" w:hAnsi="BIZ UDPゴシック" w:eastAsia="BIZ UDPゴシック"/>
                <w:b/>
                <w:sz w:val="18"/>
              </w:rPr>
              <w:t>差（在籍−受給）</w:t>
            </w:r>
          </w:p>
        </w:tc>
      </w:tr>
      <w:tr>
        <w:trPr>
          <w:cantSplit/>
        </w:trPr>
        <w:tc>
          <w:tcPr>
            <w:tcW w:type="dxa" w:w="2608"/>
          </w:tcPr>
          <w:p>
            <w:pPr>
              <w:keepNext/>
              <w:spacing w:after="20" w:before="20"/>
            </w:pPr>
            <w:r/>
            <w:r>
              <w:rPr>
                <w:rFonts w:ascii="BIZ UDPゴシック" w:hAnsi="BIZ UDPゴシック" w:eastAsia="BIZ UDPゴシック"/>
                <w:b w:val="0"/>
                <w:sz w:val="18"/>
              </w:rPr>
              <w:t>グループホーム</w:t>
            </w:r>
          </w:p>
        </w:tc>
        <w:tc>
          <w:tcPr>
            <w:tcW w:type="dxa" w:w="2381"/>
          </w:tcPr>
          <w:p>
            <w:pPr>
              <w:keepNext/>
              <w:spacing w:after="20" w:before="20"/>
              <w:jc w:val="right"/>
            </w:pPr>
            <w:r/>
            <w:r>
              <w:rPr>
                <w:rFonts w:ascii="BIZ UDPゴシック" w:hAnsi="BIZ UDPゴシック" w:eastAsia="BIZ UDPゴシック"/>
                <w:b w:val="0"/>
                <w:sz w:val="18"/>
              </w:rPr>
              <w:t>75人</w:t>
            </w:r>
          </w:p>
        </w:tc>
        <w:tc>
          <w:tcPr>
            <w:tcW w:type="dxa" w:w="2268"/>
          </w:tcPr>
          <w:p>
            <w:pPr>
              <w:keepNext/>
              <w:spacing w:after="20" w:before="20"/>
              <w:jc w:val="right"/>
            </w:pPr>
            <w:r/>
            <w:r>
              <w:rPr>
                <w:rFonts w:ascii="BIZ UDPゴシック" w:hAnsi="BIZ UDPゴシック" w:eastAsia="BIZ UDPゴシック"/>
                <w:b w:val="0"/>
                <w:sz w:val="18"/>
              </w:rPr>
              <w:t>81.6人</w:t>
            </w:r>
          </w:p>
        </w:tc>
        <w:tc>
          <w:tcPr>
            <w:tcW w:type="dxa" w:w="1814"/>
          </w:tcPr>
          <w:p>
            <w:pPr>
              <w:keepNext/>
              <w:spacing w:after="20" w:before="20"/>
              <w:jc w:val="right"/>
            </w:pPr>
            <w:r/>
            <w:r>
              <w:rPr>
                <w:rFonts w:ascii="BIZ UDPゴシック" w:hAnsi="BIZ UDPゴシック" w:eastAsia="BIZ UDPゴシック"/>
                <w:b w:val="0"/>
                <w:sz w:val="18"/>
              </w:rPr>
              <w:t>-6.6人</w:t>
            </w:r>
          </w:p>
        </w:tc>
      </w:tr>
      <w:tr>
        <w:trPr>
          <w:cantSplit/>
        </w:trPr>
        <w:tc>
          <w:tcPr>
            <w:tcW w:type="dxa" w:w="2608"/>
          </w:tcPr>
          <w:p>
            <w:pPr>
              <w:keepNext/>
              <w:spacing w:after="20" w:before="20"/>
            </w:pPr>
            <w:r/>
            <w:r>
              <w:rPr>
                <w:rFonts w:ascii="BIZ UDPゴシック" w:hAnsi="BIZ UDPゴシック" w:eastAsia="BIZ UDPゴシック"/>
                <w:b w:val="0"/>
                <w:sz w:val="18"/>
              </w:rPr>
              <w:t>特定施設</w:t>
            </w:r>
          </w:p>
        </w:tc>
        <w:tc>
          <w:tcPr>
            <w:tcW w:type="dxa" w:w="2381"/>
          </w:tcPr>
          <w:p>
            <w:pPr>
              <w:keepNext/>
              <w:spacing w:after="20" w:before="20"/>
              <w:jc w:val="right"/>
            </w:pPr>
            <w:r/>
            <w:r>
              <w:rPr>
                <w:rFonts w:ascii="BIZ UDPゴシック" w:hAnsi="BIZ UDPゴシック" w:eastAsia="BIZ UDPゴシック"/>
                <w:b w:val="0"/>
                <w:sz w:val="18"/>
              </w:rPr>
              <w:t>57人</w:t>
            </w:r>
          </w:p>
        </w:tc>
        <w:tc>
          <w:tcPr>
            <w:tcW w:type="dxa" w:w="2268"/>
          </w:tcPr>
          <w:p>
            <w:pPr>
              <w:keepNext/>
              <w:spacing w:after="20" w:before="20"/>
              <w:jc w:val="right"/>
            </w:pPr>
            <w:r/>
            <w:r>
              <w:rPr>
                <w:rFonts w:ascii="BIZ UDPゴシック" w:hAnsi="BIZ UDPゴシック" w:eastAsia="BIZ UDPゴシック"/>
                <w:b w:val="0"/>
                <w:sz w:val="18"/>
              </w:rPr>
              <w:t>61.5人</w:t>
            </w:r>
          </w:p>
        </w:tc>
        <w:tc>
          <w:tcPr>
            <w:tcW w:type="dxa" w:w="1814"/>
          </w:tcPr>
          <w:p>
            <w:pPr>
              <w:keepNext/>
              <w:spacing w:after="20" w:before="20"/>
              <w:jc w:val="right"/>
            </w:pPr>
            <w:r/>
            <w:r>
              <w:rPr>
                <w:rFonts w:ascii="BIZ UDPゴシック" w:hAnsi="BIZ UDPゴシック" w:eastAsia="BIZ UDPゴシック"/>
                <w:b w:val="0"/>
                <w:sz w:val="18"/>
              </w:rPr>
              <w:t>-4.5人</w:t>
            </w:r>
          </w:p>
        </w:tc>
      </w:tr>
      <w:tr>
        <w:trPr>
          <w:cantSplit/>
        </w:trPr>
        <w:tc>
          <w:tcPr>
            <w:tcW w:type="dxa" w:w="2608"/>
          </w:tcPr>
          <w:p>
            <w:pPr>
              <w:keepNext/>
              <w:spacing w:after="20" w:before="20"/>
            </w:pPr>
            <w:r/>
            <w:r>
              <w:rPr>
                <w:rFonts w:ascii="BIZ UDPゴシック" w:hAnsi="BIZ UDPゴシック" w:eastAsia="BIZ UDPゴシック"/>
                <w:b w:val="0"/>
                <w:sz w:val="18"/>
              </w:rPr>
              <w:t>特養・地域密着型特養</w:t>
            </w:r>
          </w:p>
        </w:tc>
        <w:tc>
          <w:tcPr>
            <w:tcW w:type="dxa" w:w="2381"/>
          </w:tcPr>
          <w:p>
            <w:pPr>
              <w:keepNext/>
              <w:spacing w:after="20" w:before="20"/>
              <w:jc w:val="right"/>
            </w:pPr>
            <w:r/>
            <w:r>
              <w:rPr>
                <w:rFonts w:ascii="BIZ UDPゴシック" w:hAnsi="BIZ UDPゴシック" w:eastAsia="BIZ UDPゴシック"/>
                <w:b w:val="0"/>
                <w:sz w:val="18"/>
              </w:rPr>
              <w:t>146人</w:t>
            </w:r>
          </w:p>
        </w:tc>
        <w:tc>
          <w:tcPr>
            <w:tcW w:type="dxa" w:w="2268"/>
          </w:tcPr>
          <w:p>
            <w:pPr>
              <w:keepNext/>
              <w:spacing w:after="20" w:before="20"/>
              <w:jc w:val="right"/>
            </w:pPr>
            <w:r/>
            <w:r>
              <w:rPr>
                <w:rFonts w:ascii="BIZ UDPゴシック" w:hAnsi="BIZ UDPゴシック" w:eastAsia="BIZ UDPゴシック"/>
                <w:b w:val="0"/>
                <w:sz w:val="18"/>
              </w:rPr>
              <w:t>197.5人</w:t>
            </w:r>
          </w:p>
        </w:tc>
        <w:tc>
          <w:tcPr>
            <w:tcW w:type="dxa" w:w="1814"/>
          </w:tcPr>
          <w:p>
            <w:pPr>
              <w:keepNext/>
              <w:spacing w:after="20" w:before="20"/>
              <w:jc w:val="right"/>
            </w:pPr>
            <w:r/>
            <w:r>
              <w:rPr>
                <w:rFonts w:ascii="BIZ UDPゴシック" w:hAnsi="BIZ UDPゴシック" w:eastAsia="BIZ UDPゴシック"/>
                <w:b w:val="0"/>
                <w:sz w:val="18"/>
              </w:rPr>
              <w:t>-51.5人</w:t>
            </w:r>
          </w:p>
        </w:tc>
      </w:tr>
      <w:tr>
        <w:trPr>
          <w:cantSplit/>
        </w:trPr>
        <w:tc>
          <w:tcPr>
            <w:tcW w:type="dxa" w:w="2608"/>
          </w:tcPr>
          <w:p>
            <w:pPr>
              <w:spacing w:after="20" w:before="20"/>
            </w:pPr>
            <w:r/>
            <w:r>
              <w:rPr>
                <w:rFonts w:ascii="BIZ UDPゴシック" w:hAnsi="BIZ UDPゴシック" w:eastAsia="BIZ UDPゴシック"/>
                <w:b w:val="0"/>
                <w:sz w:val="18"/>
              </w:rPr>
              <w:t>介護老人保健施設</w:t>
            </w:r>
          </w:p>
        </w:tc>
        <w:tc>
          <w:tcPr>
            <w:tcW w:type="dxa" w:w="2381"/>
          </w:tcPr>
          <w:p>
            <w:pPr>
              <w:spacing w:after="20" w:before="20"/>
              <w:jc w:val="right"/>
            </w:pPr>
            <w:r/>
            <w:r>
              <w:rPr>
                <w:rFonts w:ascii="BIZ UDPゴシック" w:hAnsi="BIZ UDPゴシック" w:eastAsia="BIZ UDPゴシック"/>
                <w:b w:val="0"/>
                <w:sz w:val="18"/>
              </w:rPr>
              <w:t>206人</w:t>
            </w:r>
          </w:p>
        </w:tc>
        <w:tc>
          <w:tcPr>
            <w:tcW w:type="dxa" w:w="2268"/>
          </w:tcPr>
          <w:p>
            <w:pPr>
              <w:spacing w:after="20" w:before="20"/>
              <w:jc w:val="right"/>
            </w:pPr>
            <w:r/>
            <w:r>
              <w:rPr>
                <w:rFonts w:ascii="BIZ UDPゴシック" w:hAnsi="BIZ UDPゴシック" w:eastAsia="BIZ UDPゴシック"/>
                <w:b w:val="0"/>
                <w:sz w:val="18"/>
              </w:rPr>
              <w:t>134.1人</w:t>
            </w:r>
          </w:p>
        </w:tc>
        <w:tc>
          <w:tcPr>
            <w:tcW w:type="dxa" w:w="1814"/>
          </w:tcPr>
          <w:p>
            <w:pPr>
              <w:spacing w:after="20" w:before="20"/>
              <w:jc w:val="right"/>
            </w:pPr>
            <w:r/>
            <w:r>
              <w:rPr>
                <w:rFonts w:ascii="BIZ UDPゴシック" w:hAnsi="BIZ UDPゴシック" w:eastAsia="BIZ UDPゴシック"/>
                <w:b w:val="0"/>
                <w:sz w:val="18"/>
              </w:rPr>
              <w:t>+71.9人</w:t>
            </w:r>
          </w:p>
        </w:tc>
      </w:tr>
    </w:tbl>
    <w:p>
      <w:pPr>
        <w:spacing w:after="80" w:before="0"/>
      </w:pPr>
    </w:p>
    <w:p>
      <w:pPr>
        <w:pStyle w:val="note"/>
        <w:spacing w:after="80" w:line="276" w:lineRule="auto"/>
      </w:pPr>
      <w:r>
        <w:rPr>
          <w:b w:val="0"/>
        </w:rPr>
        <w:t>介護老人保健施設だけが在籍206人＞受給134.1人（＋71.9人）で、他の３区分は受給が在籍を上回ります。特別養護老人ホーム等は受給197.5人が回答施設の定員152人を上回り、区域外の施設の利用が含まれています。このため、区域内の施設の定員は必要利用定員総数の上限ではなく、定員に対する割合が100%を超えることも誤りではありません。必要利用定員総数は、区域内の施設の定員とは別に整理します（第８章第３節）。</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143.1人、施設337.1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