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118</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 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市町村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市町村の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総額は計画に近い一方、居宅サービスは計画を下回り、施設サービスは上回りました。この乖離には、町内事業所の縮小（訪問介護の登録ヘルパーの減少）と、住所地特例24人（令和8年3月末）に表れる町外施設の利用の常態化が影響した可能性がありますが、在宅から施設等への移行の実態及び原因は確かめられていません（町内外別の利用者数や経年の推移等による追加の検証を要します）。第10期のサービス見込量は、令和7年度の利用実績を出発点としているため、この利用の構成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市町村のうち55市町村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団体の規模と強く相関しています。第1号被保険者数が3千人未満の団体の平均は407.6点、10万人以上の団体の平均は527.8点で、120.2点の差があります。また、過疎地域に該当する885市町村の平均437.4点は、非該当856市町村の平均473.5点を36.1点下回ります。本町と同じ規模区分（3千〜1万人未満）かつ過疎地域該当の285市町村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1,741市町村</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535市町村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285市町村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9指標について、同規模かつ過疎地域該当の285市町村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全国1,741市町村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同規模かつ過疎285市町村</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市町村は、全国1,741市町村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給付費適正化事業の取組状況」のアは、全国1,741市町村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一般高齢者調査（調査の回答者のうちの割合。通いの場の参加者数÷65歳以上人口による参加率は、地域支援事業のデータの受領後に別の指標として置きます）</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一般高齢者調査の回答者のうち実際に参加している割合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通いの場等に参加していない方へ個別に働きかけ、参加につなげます。参加意向55.2％に対し参加割合15.9％（いずれも一般高齢者調査の回答者）という開きを埋める取組です。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市町村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での名称は「生活支援サポーター（SC）」。第1層・第2層の配置の内訳は確認中【町確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市町村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212円動きます（1人1月あたり約29.9万円×10人×12か月の3か年分に、第1号被保険者の負担（23％）と調整交付金（相当額5％－見込交付割合）を加減し、予定収納率と補正後被保険者数で割った値。1円未満四捨五入。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各年齢階級の人数は1人未満を四捨五入して表示し、計は小数のまま合計してから四捨五入しています。このため認知症の人の数は、内訳の和（372人）と計（374人）が2人一致し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は把握の方法と対象が異なるため、単純な差を、要介護認定を受けておられない認知症の方の数と読むことはできません。地域の状況を検討する参考として並べて掲げ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計画の実施状況を毎年度評価し、結果を公表します。評価にあたっては、認知症の人及び家族等の意見を聴きます（認知症基本法第13条第3項において準用する第12条第5項）。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市町村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第2回策定委員会 選択4。町単独事業は地域支援事業の対象外であり第1号保険料では賄えない。体制は県内1位だが研修の実施が3年連続で2項目とも0点（計24点）。ただし同規模かつ過疎地域の285市町村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交：令和8年度の保険者機能強化推進交付金で「評価結果の活用」が令和7年度の満点16点から0点。県内35市町村中34位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介護給付適正化事業の区分は国が整理を進めており、第10期の区分は国の基本指針の確定を待って整理します（確認事項No.69）。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評価結果の活用」の16点は、新たな事業も予算も要さずに回復できる。要件は評価を実施することではなく、交付金の評価結果を共有・活用・公表する手順が定まっていることである。とりわけ要件エ（公表）は、宮城県内35市町村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 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6585"/>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5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介護報酬の改定率は、標準給付費見込額に一律に乗じて試算しています。基金の取崩しは保険料収納必要額から一定額を差し引くものであるため、改定による増減の幅は算定Ａ・Ｂ・Ｃでほぼ同じです。改定率1％では算定Ａ6,888円・算定Ｂ6,208円・算定Ｃ5,529円（それぞれ＋66円・＋65円・＋65円）、3％では算定Ａ7,018円・算定Ｂ6,339円・算定Ｃ5,659円（それぞれ＋196円・＋196円・＋195円）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保健福祉課／次期ニーズ調査（調査の回答者のうちの割合。通いの場の参加者数÷65歳以上人口による参加率は、地域支援事業のデータの受領後に別の指標として置きます）</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