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bCs/>
          <w:i w:val="false"/>
          <w:iCs w:val="false"/>
          <w:color w:val="1F3864"/>
          <w:sz w:val="40"/>
          <w:szCs w:val="40"/>
        </w:rPr>
        <w:t xml:space="preserve">川崎町高齢者保健福祉計画</w:t>
      </w:r>
    </w:p>
    <w:p>
      <w:pPr>
        <w:spacing w:after="480" w:before="0"/>
        <w:jc w:val="center"/>
      </w:pPr>
      <w:r>
        <w:rPr>
          <w:rFonts w:ascii="游ゴシック" w:cs="游ゴシック" w:eastAsia="游ゴシック" w:hAnsi="游ゴシック"/>
          <w:b/>
          <w:bCs/>
          <w:i w:val="false"/>
          <w:iCs w:val="false"/>
          <w:color w:val="1F3864"/>
          <w:sz w:val="40"/>
          <w:szCs w:val="40"/>
        </w:rPr>
        <w:t xml:space="preserve">第10期介護保険事業計画</w:t>
      </w:r>
    </w:p>
    <w:p>
      <w:pPr>
        <w:spacing w:after="240" w:before="240"/>
        <w:jc w:val="center"/>
      </w:pPr>
      <w:r>
        <w:rPr>
          <w:rFonts w:ascii="游ゴシック" w:cs="游ゴシック" w:eastAsia="游ゴシック" w:hAnsi="游ゴシック"/>
          <w:b w:val="false"/>
          <w:bCs w:val="false"/>
          <w:i/>
          <w:iCs/>
          <w:color w:val="2F5597"/>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bCs/>
          <w:i w:val="false"/>
          <w:iCs w:val="false"/>
          <w:color w:val="ED7D31"/>
          <w:sz w:val="28"/>
          <w:szCs w:val="28"/>
        </w:rPr>
        <w:t xml:space="preserve">計画書素案 Ver.1.12</w:t>
      </w:r>
    </w:p>
    <w:p>
      <w:pPr>
        <w:spacing w:after="80" w:before="80"/>
        <w:jc w:val="center"/>
      </w:pPr>
      <w:r>
        <w:rPr>
          <w:rFonts w:ascii="游ゴシック" w:cs="游ゴシック" w:eastAsia="游ゴシック" w:hAnsi="游ゴシック"/>
          <w:b w:val="false"/>
          <w:bCs w:val="false"/>
          <w:i/>
          <w:iCs/>
          <w:color w:val="595959"/>
          <w:sz w:val="18"/>
          <w:szCs w:val="18"/>
        </w:rPr>
        <w:t xml:space="preserve">（アンケート調査結果 反映版）</w:t>
      </w:r>
    </w:p>
    <w:p>
      <w:pPr>
        <w:spacing w:after="80" w:before="2400"/>
        <w:jc w:val="center"/>
      </w:pPr>
      <w:r>
        <w:rPr>
          <w:rFonts w:ascii="游ゴシック" w:cs="游ゴシック" w:eastAsia="游ゴシック" w:hAnsi="游ゴシック"/>
          <w:b w:val="false"/>
          <w:bCs w:val="false"/>
          <w:i w:val="false"/>
          <w:iCs w:val="false"/>
          <w:color w:val="595959"/>
          <w:sz w:val="22"/>
          <w:szCs w:val="22"/>
        </w:rPr>
        <w:t xml:space="preserve">計画期間：令和9年度〜令和11年度</w:t>
      </w:r>
    </w:p>
    <w:p>
      <w:pPr>
        <w:spacing w:after="80" w:before="80"/>
        <w:jc w:val="center"/>
      </w:pPr>
      <w:r>
        <w:rPr>
          <w:rFonts w:ascii="游ゴシック" w:cs="游ゴシック" w:eastAsia="游ゴシック" w:hAnsi="游ゴシック"/>
          <w:b w:val="false"/>
          <w:bCs w:val="false"/>
          <w:i w:val="false"/>
          <w:iCs w:val="false"/>
          <w:color w:val="595959"/>
          <w:sz w:val="22"/>
          <w:szCs w:val="22"/>
        </w:rPr>
        <w:t xml:space="preserve">令和8年6月</w:t>
      </w:r>
    </w:p>
    <w:p>
      <w:pPr>
        <w:spacing w:after="80" w:before="80"/>
        <w:jc w:val="center"/>
      </w:pPr>
      <w:r>
        <w:rPr>
          <w:rFonts w:ascii="游ゴシック" w:cs="游ゴシック" w:eastAsia="游ゴシック" w:hAnsi="游ゴシック"/>
          <w:b w:val="false"/>
          <w:bCs w:val="false"/>
          <w:i w:val="false"/>
          <w:iCs w:val="false"/>
          <w:color w:val="595959"/>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color w:val="595959"/>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pacing w:after="360" w:before="480" w:line="320"/>
        <w:jc w:val="center"/>
      </w:pPr>
      <w:r>
        <w:rPr>
          <w:rFonts w:ascii="游ゴシック" w:cs="游ゴシック" w:eastAsia="游ゴシック" w:hAnsi="游ゴシック"/>
          <w:b/>
          <w:bCs/>
          <w:i w:val="false"/>
          <w:iCs w:val="false"/>
          <w:color w:val="1F3864"/>
          <w:sz w:val="36"/>
          <w:szCs w:val="36"/>
        </w:rPr>
        <w:t xml:space="preserve">ご　挨　拶</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false"/>
          <w:bCs w:val="false"/>
          <w:i w:val="false"/>
          <w:iCs w:val="false"/>
          <w:color w:val="000000"/>
          <w:sz w:val="22"/>
          <w:szCs w:val="22"/>
        </w:rPr>
        <w:t xml:space="preserve">令和9年3月</w:t>
      </w:r>
    </w:p>
    <w:p>
      <w:pPr>
        <w:spacing w:after="80" w:before="240"/>
        <w:jc w:val="right"/>
      </w:pPr>
      <w:r>
        <w:rPr>
          <w:rFonts w:ascii="游ゴシック" w:cs="游ゴシック" w:eastAsia="游ゴシック" w:hAnsi="游ゴシック"/>
          <w:b/>
          <w:bCs/>
          <w:i w:val="false"/>
          <w:iCs w:val="false"/>
          <w:color w:val="000000"/>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24"/>
        </w:pBdr>
        <w:spacing w:after="480" w:before="240" w:line="320"/>
        <w:jc w:val="center"/>
      </w:pPr>
      <w:r>
        <w:rPr>
          <w:rFonts w:ascii="游ゴシック" w:cs="游ゴシック" w:eastAsia="游ゴシック" w:hAnsi="游ゴシック"/>
          <w:b/>
          <w:bCs/>
          <w:i w:val="false"/>
          <w:iCs w:val="false"/>
          <w:color w:val="1F3864"/>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3-2．主要施策の取組実績（6目標別・詳細）</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4-2．基本目標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4-3．計画の重点ポイント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5-1．健康づくり・介護予防の推進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5-2．高齢者が安心して暮らせるまちづくり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5-3．在宅生活継続の支援</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5-4．介護サービスの質の確保と人材確保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5-5．地域包括ケアシステムの深化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認知症施策推進計画(独立章)</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6-2．認知症施策の体系(7基本的施策)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7-3．介護保険料の試算(8ステップ・3パターン)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43</w:t>
            </w:r>
          </w:p>
        </w:tc>
      </w:tr>
    </w:tbl>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jc w:val="left"/>
      </w:pPr>
      <w:r>
        <w:rPr>
          <w:rFonts w:ascii="游ゴシック" w:cs="游ゴシック" w:eastAsia="游ゴシック" w:hAnsi="游ゴシック"/>
          <w:b w:val="false"/>
          <w:bCs w:val="false"/>
          <w:i/>
          <w:iCs/>
          <w:color w:val="595959"/>
          <w:sz w:val="18"/>
          <w:szCs w:val="18"/>
        </w:rPr>
        <w:t xml:space="preserve">※本素案Ver.1.12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計画骨子（案）に沿って、第2章に「2-7 サービス供給体制の状況」、第7章に「サービス提供体制と介護人材の確保」、第8章に「地域マネジメントの推進」を新設し、第10章に「10-4 KPI管理表」を設けました。第9章に掲載している保険料の概算試算は確定値ではなく仮試算であり、第3回策定委員会（令和9年1月）で確定します。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1F3864"/>
          <w:sz w:val="48"/>
          <w:szCs w:val="48"/>
        </w:rPr>
        <w:t xml:space="preserve">第 1 章</w:t>
      </w:r>
    </w:p>
    <w:p>
      <w:pPr>
        <w:pBdr>
          <w:top w:val="single" w:color="1F3864" w:sz="24"/>
          <w:bottom w:val="single" w:color="1F3864" w:sz="24"/>
        </w:pBdr>
        <w:shd w:fill="DAE3F3" w:val="solid"/>
        <w:spacing w:after="240" w:before="0" w:line="320"/>
        <w:jc w:val="center"/>
      </w:pPr>
      <w:r>
        <w:rPr>
          <w:rFonts w:ascii="游ゴシック" w:cs="游ゴシック" w:eastAsia="游ゴシック" w:hAnsi="游ゴシック"/>
          <w:b/>
          <w:bCs/>
          <w:i w:val="false"/>
          <w:iCs w:val="false"/>
          <w:color w:val="1F3864"/>
          <w:sz w:val="32"/>
          <w:szCs w:val="32"/>
        </w:rPr>
        <w:t xml:space="preserve">計画の策定にあたって</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1-1　計画策定の背景と目的</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川崎町の現状と課題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本計画の目的</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本計画は、介護保険法・老人福祉法・認知症基本法の3つの法律に基づく一体的計画である。</w:t>
      </w:r>
    </w:p>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1-2　計画の位置付け</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本計画は、以下の法令・上位計画・関連計画との整合を図りながら策定します。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法令上の根拠</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共生社会の実現を推進するための認知症基本法第14条（市町村認知症施策推進計画）</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上位計画・関連計画との関係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計画名</w:t>
            </w:r>
          </w:p>
        </w:tc>
        <w:tc>
          <w:tcPr>
            <w:tcW w:type="pct" w:w="4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整合の方針</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町の総合的なまちづくり方針との整合を確保</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3計画同時策定のメリットを活かし、移送サービス・重層的支援体制等の重複論点を整理して整合を確保（受託：ジャパン総研）</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健康寿命延伸・介護予防の観点で項目相互参照</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社協独自計画。フレイル予防・介護予防事業のタイアップで連動（整合性確認は不要と整理）</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国指針の3層整合（国→県→町）の原則に基づく</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県計画との整合（広域連携・人材確保）</w:t>
            </w:r>
          </w:p>
        </w:tc>
      </w:tr>
    </w:tbl>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1-3　計画の期間</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期間</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令和6年度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令和7年度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令和8年度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令和9年度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令和10年度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令和11年度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令和12年度</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第9期</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1-4　計画策定の体制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本計画は、以下の体制で策定します。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策定委員会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住民意見の反映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一般高齢者ニーズ調査（対象：65歳以上の高齢者1,000名）</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要支援・要介護認定者調査（対象：認定者300名）</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関係機関等との連携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375623"/>
          <w:sz w:val="48"/>
          <w:szCs w:val="48"/>
        </w:rPr>
        <w:t xml:space="preserve">第 2 章</w:t>
      </w:r>
    </w:p>
    <w:p>
      <w:pPr>
        <w:pBdr>
          <w:top w:val="single" w:color="375623" w:sz="24"/>
          <w:bottom w:val="single" w:color="375623" w:sz="24"/>
        </w:pBdr>
        <w:shd w:fill="E2EFDA" w:val="solid"/>
        <w:spacing w:after="240" w:before="0" w:line="320"/>
        <w:jc w:val="center"/>
      </w:pPr>
      <w:r>
        <w:rPr>
          <w:rFonts w:ascii="游ゴシック" w:cs="游ゴシック" w:eastAsia="游ゴシック" w:hAnsi="游ゴシック"/>
          <w:b/>
          <w:bCs/>
          <w:i w:val="false"/>
          <w:iCs w:val="false"/>
          <w:color w:val="375623"/>
          <w:sz w:val="32"/>
          <w:szCs w:val="32"/>
        </w:rPr>
        <w:t xml:space="preserve">川崎町の高齢者を取り巻く現状</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2-1　人口・世帯の現状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令和3年度末
（2022.3）</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令和7年6月
（2025.6）</w:t>
            </w:r>
          </w:p>
        </w:tc>
        <w:tc>
          <w:tcPr>
            <w:tcW w:type="pct" w:w="1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増減数</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1,569人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△176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548235"/>
                <w:sz w:val="18"/>
                <w:szCs w:val="18"/>
              </w:rPr>
              <w:t xml:space="preserve">+165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±0.0%</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3,255人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3,244人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△11</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△0.3%</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（再掲）後期高齢者75歳以上</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1,510人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1,675人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548235"/>
                <w:sz w:val="18"/>
                <w:szCs w:val="18"/>
              </w:rPr>
              <w:t xml:space="preserve">+165</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+10.9%</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（再掲）住所地特例</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34人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△29.4%</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出典：介護保険事業状況報告（保険者データ R7.6月分・年報データR3年度）</w:t>
      </w:r>
    </w:p>
    <w:p>
      <w:pPr>
        <w:spacing w:after="60" w:before="12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図2-1　第1号被保険者の年齢階級別推移（R3年度末→R7.6月）</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第1号被保険者総数はほぼ横ばいだが、後期高齢者（75歳以上）は約11%増加。年齢構成の高齢化が進行している。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号被保険者数の総数は令和3年度末3,255人から令和7年6月3,244人と微減ですが、内訳を見ると前期高齢者（65〜75歳未満）が約10%減少する一方、後期高齢者（75歳以上）は約11%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75歳以上85歳未満の階層が令和3年度末905人から令和7年6月1,070人と4年で165人（+18.2%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人口動態（令和7年6月単月）</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・当月中増：11人（うち65歳到達8人・転入2人・その他1人）</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・当月中減：15人（うち死亡12人・転出3人）</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・自然動態は減少局面（死亡&gt;65歳到達）に入っており、第1号被保険者数は今後緩やかに減少する見込み</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世帯の状況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2-2　高齢者の状況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高齢化率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図2-5　高齢化率比較（令和7年3月31日時点）</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4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5%"/>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人数</w:t>
            </w:r>
          </w:p>
        </w:tc>
        <w:tc>
          <w:tcPr>
            <w:tcW w:type="pct" w:w="15%"/>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c>
          <w:tcPr>
            <w:tcW w:type="pct" w:w="2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13.2%</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8.4%</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8.4%</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466人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14.3%</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本人非課税</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第5段階</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本人非課税・世帯課税（基準）</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697人</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21.4%</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13.8%</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11.8%</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本人課税（320万円以上）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3,255人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令和3年度・様式1所得段階別）</w:t>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図2-4　所得段階別第1号被保険者の構成（令和3年度末・計3,255人）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非課税層（第1〜3段階）が979人（30.1%）を占め、低所得高齢者への保険料軽減・補足給付の重要性が示されています。一方、本人課税層（第6〜9段階）は1,113人（34.2%）で、相対的な保険料負担力を有する層も一定規模存在してい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第1段階（年金収入80万円以下の世帯非課税層）が431人と多く、後期高齢者の増加に伴いさらに増加する可能性があります。この層は保険料軽減措置（5割軽減）の対象であり、町の一般会計繰入（低所得者保険料軽減繰入金として令和3年度実績で約13,555千円）が継続的に必要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2-3　要介護認定とサービス利用の状況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サービス受給者数（令和7年6月時点）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サービス区分</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要支援1</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要支援2</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要介護1</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要介護2</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要介護3</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要介護4</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要介護5</w:t>
            </w:r>
          </w:p>
        </w:tc>
        <w:tc>
          <w:tcPr>
            <w:tcW w:type="pct" w:w="16%"/>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134人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うち特養</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23</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68人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うち老健</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22</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66人</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延べ合計（重複あり）</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50</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54</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123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78</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45</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466人</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出典：介護保険事業状況報告（保険者データ202506・様式1の6）</w:t>
      </w:r>
    </w:p>
    <w:p>
      <w:pPr>
        <w:spacing w:after="60" w:before="12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図2-2　サービス受給者の区分別構成（令和7年6月時点・延べ466人）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令和7年6月時点で、サービス受給者は延べ466人（重複あり）です。サービス区分別構成は、居宅サービス59.2%、地域密着型12.0%、施設28.8%となっており、在宅介護が主軸を占めています。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ただし、要介護度別の利用状況を見ると、要介護3以上の重度層では施設サービス利用が中心となります。施設サービス受給者134人のうち、要介護3以上が104人（77.6%）を占めており、重度認定者の受け皿として施設機能が機能していることが分かります。一方、要介護1〜2の中軽度層では居宅サービス・地域密着型サービスでの対応が中心となってい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施設サービス受給者134人のうち、特養68人・老健66人がほぼ拮抗。介護療養型医療施設は令和5年度末に制度廃止されたため第10期では記載しない。介護医療院は0人であり、第10期見込量は0据置とするが、町提供実績データにも計上がないため取扱いを確認する。</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6月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地区別の認定者・サービス利用状況、町外施設利用者の所在自治体内訳は、町担当課から経年データを入手次第追記します。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2-4　介護給付費の状況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年間給付費（令和3年度実績）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サービス区分</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要支援計</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要介護計</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合計（円）</w:t>
            </w:r>
          </w:p>
        </w:tc>
        <w:tc>
          <w:tcPr>
            <w:tcW w:type="pct" w:w="14%"/>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居宅サービス計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26,821,755</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339,234,895</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366,056,650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2,490,773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54,605,942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57,096,715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16,765,707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173,710,493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190,476,200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19.8%</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地域密着型計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152,764,596</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152,764,596</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15.9%</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441,678,518</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441,678,518</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193,053,976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193,053,976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248,624,542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248,624,542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25.9%</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26,821,755</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933,678,009</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960,499,764</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令和3年度・様式2給付費）</w:t>
      </w:r>
    </w:p>
    <w:p>
      <w:pPr>
        <w:spacing w:after="6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図2-3　サービス区分別の年間給付費（令和3年度実績・総額9.6億円）</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令和3年度のサービス種類別給付費合計は約9.6億円。施設サービスが46.0%、居宅サービスが38.1%、地域密着型が15.9%の構成。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施設サービスが給付費全体の46.0%を占めていることは、川崎町の介護給付構造の大きな特徴です。受給者数では28.8%（134人）に過ぎない施設サービス利用者が、給付費の半分近くを占めるのは、施設サービスの1人当たり単価が居宅サービスより大幅に高いためです。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一方、居宅サービス内訳では通所サービス（デイサービス・デイケア）が約1.9億円（給付費全体の19.8%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8,249万円と地域密着型給付費の54%を占め、認知症ケアにおける重要拠点となっ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介護保険特別会計の状況（令和3年度）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金額（円）</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保険給付費 計</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1,042,179,056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933,658,461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26,841,303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26,815,719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52,467,842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5.0%</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 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32,071,763</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令和3年度・様式4）</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保険料収納実績（令和3年度）</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・調定額累計：237,836,453円　収納額累計：229,136,570円</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・収納率合計：96.3%（特別徴収100%・普通徴収現年度分87.3%）</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・不納欠損額：1,207,220円　未収額：7,492,663円</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収納率96.3%は高水準。第10期保険料試算における予定収納率の根拠となる。</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2-5　高齢者を取り巻く地域資源</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地域包括支援センター</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医療資源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認知症関連資源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ユニバーサルサポーター14種別約400名は川崎町独自の重要な地域資源。第10期の生活支援体制整備・通いの場展開の中核となる。</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移動支援</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これらの所管は地域振興課・町民生活課・社協・NPO法人と分かれており、第10期では移動支援全体を俯瞰した整理と利用情報の住民への提供が課題です。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独自施策</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・高齢者紙おむつ等支給事業</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・人工透析患者通院交通費助成事業</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2-6　調査結果からみた高齢者の状況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調査の概要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いずれも令和8年6月から7月にかけて郵送により実施しました。割合は、設問ごとに無回答を除いた有効回答数（n）を分母として算出しています。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対象・配布</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有効回答</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介護予防・日常生活圏域ニーズ調査</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要介護認定を受けていない65歳以上の方　1,000名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576件</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在宅介護実態調査</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要支援・要介護認定者　300名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142件</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世帯構成と生活基盤（ニーズ調査）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1人暮らし</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14.7％（83件）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n=564</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夫婦2人暮らし（配偶者65歳以上）</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33.5％（189件）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高齢者のみの世帯は合わせて48.2％</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息子・娘との2世帯</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23.0％（130件）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その他24.1％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普段の介護・介助が必要ない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85.6％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「必要だが受けていない」8.4％、「受けている」5.9％（n=557）</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経済的に苦しい（大変＋やや）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31.4％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n=560。健康状態の悪化と関連がみられる</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持家（一戸建て）</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95.3％</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n=556</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身体機能・転倒・外出（ニーズ調査）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転倒の経験と不安、外出控えは相互に関連しています。転倒不安が「とても」大きい層では外出を控えている割合が48.1％に達し、不安が「ない」層（6.0％）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過去1年間に転倒した経験がある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33.6％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「何度もある」11.0％＋「1度ある」22.6％（n=572）</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転倒に対する不安がある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51.9％</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「とても」14.2％＋「やや」37.8％（n=543）</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外出を控えている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19.1％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n=540。理由は足腰などの痛み55.4％、交通手段がない19.8％（n=101）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移動手段：自動車（自分で運転）</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74.1％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n=536</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移動手段：路線バス</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タクシー3.2％。公共交通の利用は極めて少ない</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社会参加と担い手（ニーズ調査）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組織的な活動への参加は限定的である一方、新たなグループ活動への参加意向は半数を超えています。ただし企画・運営（お世話役）として関わる意向は4割にとどまり、担い手の確保が課題です。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通いの場に参加していない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84.1％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n=439。参加率は15.9％</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その他の活動に参加していない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学習89.0％・老人クラブ84.1％・町内会59.4％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ボランティア77.6％・スポーツ76.1％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グループ活動に参加者として参加したい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55.2％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「是非」9.2％＋「参加してもよい」46.0％（n=543）</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企画・運営として参加したい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41.4％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n=539。担い手の確保が課題</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趣味がある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68.1％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生きがいがある55.3％（n=519）。両者には強い関連（p＜0.001）</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健康・こころ・認知症（ニーズ調査）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健康状態が良くない（あまり＋よくない）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23.6％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n=551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この1か月に気分が沈むことがあった</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34.7％</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物事に興味がわかなかった25.0％（n=541）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物忘れが多いと感じる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41.8％</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今日が何月何日かわからない時がある30.3％（n=558）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治療中の病気：高血圧</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54.2％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目の病気22.2％・高脂血症18.0％・筋骨格18.0％・糖尿病17.6％（n=528）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本人又は家族に認知症の症状がある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11.1％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n=541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認知症の相談窓口を知っている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47.7％</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n=547。知らない52.3％</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相談・支援体制（ニーズ調査）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家族・友人以外に相談できる相手が「いない」との回答は、世帯構成によって37.0％から43.5％の範囲にあり、統計的な有意差は認められませんでした。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家族・友人以外に相談できる相手がいない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38.8％</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n=484。世帯構成による差は小さい（37.0〜43.5％）</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心配事や愚痴を聞いてくれる人がいない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3.8％</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看病や世話をしてくれる人がいない3.6％（n=554）</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友人・知人と会う頻度がほとんどない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8.6％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この1か月に会った友人・知人が0人 8.9％（n=540）</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施設等への入所の申込みを最も強く分けているのは、要介護度の重さよりも家族介護者の有無でした。家族・親族の介護が「ない」層では56.9％が申込済みであり、介護が「ある」層（13.5％）の4.2倍で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施設等への入所・入居を申込済み</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33.8％（47件）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検討中14.4％を合わせて48.2％（n=139）</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家族・親族の介護が「ない」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45.8％（65件）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この層の56.9％が申込済み（介護が「ある」層は13.5％）</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単身世帯の施設申込済み</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69.4％（25／36件）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分類「その他（子との同居等）」の世帯18.6％の3.7倍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介護保険サービスを利用していない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58.7％（81件）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未利用層の48.8％が申込済み（利用層は14.3％・n=138）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家族介護もサービス利用もない世帯</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50件（36.2％）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両設問に有効回答があった138件が分母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主な介護者が離職した世帯</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9件（13.2％）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離職・転職を含めると13件（19.1％・n=68）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主な介護者の70歳以上</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42.1％（32件）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n=76。介護者の高齢化が進んでいる</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主な介護者の不安（最多）</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外出の付き添い・送迎等／認知症状への対応　ともに33.3％</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入浴・洗身26.7％、食事準備24.0％（n=75）</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調査から確認された構造的な課題</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転倒の経験・転倒への不安・外出控えが連鎖している。転倒予防と外出支援は一体で検討する必要がある。</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移動が自動車に大きく依存しており（自分で運転74.1％）、運転が困難になった後の移動手段が乏しい。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グループ活動への参加意向は55.2％ある一方、企画・運営の担い手は41.4％にとどまる。</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相談窓口が届いていない。世帯構成によらず4割前後が家族・友人以外の相談相手を持たない。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在宅の要介護者では、施設入所の申込みを最も強く分けているのは要介護度ではなく家族介護者の有無である。</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町域の特性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本節に掲載する供給側のデータは次のとおり整理します。現時点では町からのご提供及び事業所ヒアリングを待つ項目が多く、Ver.2.0で確定します。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dxa" w:w="88"/>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把握する項目</w:t>
            </w:r>
          </w:p>
        </w:tc>
        <w:tc>
          <w:tcPr>
            <w:tcW w:type="dxa" w:w="19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現時点で判明していること</w:t>
            </w:r>
          </w:p>
        </w:tc>
        <w:tc>
          <w:tcPr>
            <w:tcW w:type="dxa" w:w="5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No.12</w:t>
            </w:r>
          </w:p>
        </w:tc>
      </w:tr>
    </w:tbl>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供給制約を示す事象</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事象</w:t>
            </w:r>
          </w:p>
        </w:tc>
        <w:tc>
          <w:tcPr>
            <w:tcW w:type="dxa" w:w="13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dxa" w:w="1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想定される影響</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施設・居住系サービスの供給量が既に減少している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現在の定員を維持できない可能性がある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事業所の経営を圧迫し、撤退・縮小の要因となる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在宅サービスが施設需要の受け皿になり得ない</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在宅への移行を前提とした施策が機能しない</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加算の取得や事業の継続に影響する</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本節の数値は、第1回策定委員会での委員のご発言に基づくものです。事業所ヒアリング（令和8年9〜10月・確認事項No.50・51）により事実関係を確認のうえ、Ver.2.0で確定します。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2E75B6"/>
          <w:sz w:val="48"/>
          <w:szCs w:val="48"/>
        </w:rPr>
        <w:t xml:space="preserve">第 3 章</w:t>
      </w:r>
    </w:p>
    <w:p>
      <w:pPr>
        <w:pBdr>
          <w:top w:val="single" w:color="2E75B6" w:sz="24"/>
          <w:bottom w:val="single" w:color="2E75B6" w:sz="24"/>
        </w:pBdr>
        <w:shd w:fill="DAE3F3" w:val="solid"/>
        <w:spacing w:after="240" w:before="0" w:line="320"/>
        <w:jc w:val="center"/>
      </w:pPr>
      <w:r>
        <w:rPr>
          <w:rFonts w:ascii="游ゴシック" w:cs="游ゴシック" w:eastAsia="游ゴシック" w:hAnsi="游ゴシック"/>
          <w:b/>
          <w:bCs/>
          <w:i w:val="false"/>
          <w:iCs w:val="false"/>
          <w:color w:val="2E75B6"/>
          <w:sz w:val="32"/>
          <w:szCs w:val="32"/>
        </w:rPr>
        <w:t xml:space="preserve">第9期計画の取組実績と評価</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3-1　第9期計画の体系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第9期計画策定の経緯</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第9期計画の体系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・基本方針1：健康づくりの推進（第2部 第1章）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・基本方針5：介護給付・介護予防給付サービスの充実（第2部 第5章）</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3-2　主要施策の取組実績</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各事業の数値実績（実施回数・対象者数・事業費等）の確定値は、別添「川崎町第9期介護保険事業計画 実績一覧（町記入用フォーマット）」（全7シート・35事業以上を網羅）への町担当課ご記入を経て、Ver.2.0で本表に反映します。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第9期取組実績の確定値は、別添『川崎町_第9期実績一覧_町記入用.xlsx』との連動で管理する。本素案Ver.1.12では事業項目と既知数値を提示する。</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【町確認・最新値】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第10期への課題：ユニバーサルサポーター制度の質的向上、後期高齢者（75歳以上1,675人）の急増に対応した介護予防の対象拡大、中山間地域居住者の通いの場参加への移動支援との連動が課題です。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C00000"/>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R7.3 終了</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548235"/>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R7.10 開始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R3給付費約2,857万円（参考）</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施設サービス利用者134人のうち77.6%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介護サービスの質の確保、町外施設利用を含めた供給体制の整備、深刻化する介護人材不足への対応を進めました。特に住所地特例24人（令和7年6月時点）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特養（68人）・老健（66人）受給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R7.6時点。介護療養型・介護医療院は0人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受給者数で参考</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24人（R7.6時点）。町内施設縮小に伴い町外依存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R7.6＝24人</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R7=4名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R7=SC25名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R3年度実績：32,071,763円（総合事業565＋一般195＋包括/任意2,447万円）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R3＝3,207万円</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累計550名養成（地域福祉計画資料時点）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R7=550名累計</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累計73名養成。サポーター養成講座の講師役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R7=73名累計</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認知症の人と家族の交流・相談の場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認知症初期集中支援チーム・地域支援推進員による対応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新規(未整備)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チームオレンジ整備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認知症基本法対応の新規取組。第10期で整備を目標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R7＝未整備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R7＝未実施</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認知症基本法対応として、（1）チームオレンジの整備（令和8年9月1日提供の実績データでは令和6年度以降「整備」とされており、実態を確認中）、（2）認知症本人ミーティングの新規実施、（3）本人・家族の意見聴取（地域包括支援センター・国保川崎病院経由）、（4）KPIの3層構造化（成果指標・活動指標・体制指標）が必須となります。第6章で独立章として詳述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本節の項目</w:t>
            </w:r>
          </w:p>
        </w:tc>
        <w:tc>
          <w:tcPr>
            <w:tcW w:type="pct" w:w="3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対応する実績一覧シート</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反映時期</w:t>
            </w:r>
          </w:p>
        </w:tc>
        <w:tc>
          <w:tcPr>
            <w:tcW w:type="pct" w:w="2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3-2-1 健康づくり・介護予防</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3-2-2 仕組みづくり</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3-2-3 在宅生活継続</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3-2-4 質の確保・人材</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2F5597"/>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3-2-5 包括ケア深化</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3-2-6 認知症施策</w:t>
            </w:r>
          </w:p>
        </w:tc>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A（基本法対応・最重要）</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3-3　評価指標の達成状況</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あり、令和7年度が最も高く、令和8年度は37点下がりました。</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である一方、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3-4　第10期に向けた課題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課題</w:t>
            </w:r>
          </w:p>
        </w:tc>
        <w:tc>
          <w:tcPr>
            <w:tcW w:type="pct" w:w="6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独居・夫婦のみに加え、未婚の子と高齢親の同居世帯での介護負担が課題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在宅の認定者のうち家族介護もサービス利用もない世帯が50件（36.2％）。家族介護者の不在は施設入所の申込みと強く関連している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C55A11"/>
          <w:sz w:val="48"/>
          <w:szCs w:val="48"/>
        </w:rPr>
        <w:t xml:space="preserve">第 4 章</w:t>
      </w:r>
    </w:p>
    <w:p>
      <w:pPr>
        <w:pBdr>
          <w:top w:val="single" w:color="C55A11" w:sz="24"/>
          <w:bottom w:val="single" w:color="C55A11" w:sz="24"/>
        </w:pBdr>
        <w:shd w:fill="FCE4D6" w:val="solid"/>
        <w:spacing w:after="240" w:before="0" w:line="320"/>
        <w:jc w:val="center"/>
      </w:pPr>
      <w:r>
        <w:rPr>
          <w:rFonts w:ascii="游ゴシック" w:cs="游ゴシック" w:eastAsia="游ゴシック" w:hAnsi="游ゴシック"/>
          <w:b/>
          <w:bCs/>
          <w:i w:val="false"/>
          <w:iCs w:val="false"/>
          <w:color w:val="C55A11"/>
          <w:sz w:val="32"/>
          <w:szCs w:val="32"/>
        </w:rPr>
        <w:t xml:space="preserve">計画の基本理念と基本目標</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4-1　基本理念（第9期踏襲）</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pBdr>
          <w:bottom w:val="single" w:color="C55A11" w:sz="4"/>
        </w:pBdr>
        <w:shd w:fill="FCE4D6" w:val="solid"/>
        <w:spacing w:after="120" w:before="220" w:line="300"/>
      </w:pPr>
      <w:r>
        <w:rPr>
          <w:rFonts w:ascii="游ゴシック" w:cs="游ゴシック" w:eastAsia="游ゴシック" w:hAnsi="游ゴシック"/>
          <w:b/>
          <w:bCs/>
          <w:i w:val="false"/>
          <w:iCs w:val="false"/>
          <w:color w:val="C55A11"/>
          <w:sz w:val="22"/>
          <w:szCs w:val="22"/>
        </w:rPr>
        <w:t xml:space="preserve">　▌ 基本理念（案）</w:t>
      </w:r>
    </w:p>
    <w:p>
      <w:pPr>
        <w:pBdr>
          <w:top w:val="double" w:color="C55A11" w:sz="18"/>
          <w:bottom w:val="double" w:color="C55A11" w:sz="18"/>
        </w:pBdr>
        <w:shd w:fill="FCE4D6" w:val="solid"/>
        <w:spacing w:after="240" w:before="240" w:line="360"/>
        <w:jc w:val="center"/>
      </w:pPr>
      <w:r>
        <w:rPr>
          <w:rFonts w:ascii="游ゴシック" w:cs="游ゴシック" w:eastAsia="游ゴシック" w:hAnsi="游ゴシック"/>
          <w:b/>
          <w:bCs/>
          <w:i w:val="false"/>
          <w:iCs w:val="false"/>
          <w:color w:val="C55A11"/>
          <w:sz w:val="32"/>
          <w:szCs w:val="32"/>
        </w:rPr>
        <w:t xml:space="preserve">誰もが健やかに暮らせるまちづくり</w:t>
      </w:r>
    </w:p>
    <w:p>
      <w:pPr>
        <w:pBdr>
          <w:bottom w:val="single" w:color="C55A11" w:sz="4"/>
        </w:pBdr>
        <w:shd w:fill="FCE4D6" w:val="solid"/>
        <w:spacing w:after="120" w:before="220" w:line="300"/>
      </w:pPr>
      <w:r>
        <w:rPr>
          <w:rFonts w:ascii="游ゴシック" w:cs="游ゴシック" w:eastAsia="游ゴシック" w:hAnsi="游ゴシック"/>
          <w:b/>
          <w:bCs/>
          <w:i w:val="false"/>
          <w:iCs w:val="false"/>
          <w:color w:val="C55A11"/>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false"/>
          <w:bCs w:val="false"/>
          <w:i/>
          <w:iCs/>
          <w:color w:val="C55A11"/>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基本理念の本文・サブタイトル案は、第1回策定委員会（令和8年9月2日）でご審議いただき、確定します。</w:t>
      </w:r>
    </w:p>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4-2　基本目標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5つの基本方針により体系化されていました。第10期計画では、その考え方を継承したうえで、施策の整理の単位を「基本目標」に改め、認知症基本法への対応として認知症施策を基本目標6として新たに独立させ、次の6区分に再構成します。第9期の基本方針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第9期計画の基本方針</w:t>
            </w:r>
          </w:p>
        </w:tc>
        <w:tc>
          <w:tcPr>
            <w:tcW w:type="pct" w:w="2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第10期計画の基本目標</w:t>
            </w:r>
          </w:p>
        </w:tc>
        <w:tc>
          <w:tcPr>
            <w:tcW w:type="pct" w:w="6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考え方</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介護予防を明示して継承</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　高齢者が安心して暮らせる</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2　高齢者が安心して暮らせる</w:t>
            </w:r>
          </w:p>
          <w:p>
            <w:pPr>
              <w:spacing w:after="40" w:before="40" w:line="260"/>
              <w:jc w:val="left"/>
            </w:pPr>
            <w:r>
              <w:rPr>
                <w:rFonts w:ascii="游ゴシック" w:cs="游ゴシック" w:eastAsia="游ゴシック" w:hAnsi="游ゴシック"/>
                <w:b/>
                <w:bCs/>
                <w:i w:val="false"/>
                <w:iCs w:val="false"/>
                <w:color w:val="000000"/>
                <w:sz w:val="18"/>
                <w:szCs w:val="18"/>
              </w:rPr>
              <w:t xml:space="preserve">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見守り・移動支援・住まいを含めて継承</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在宅生活の継続という観点で再構成</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介護予防・生活支援・包括的支援の各事業を</w:t>
            </w:r>
          </w:p>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目的別に配置</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　介護給付・介護予防給付</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4　介護サービスの質の確保と</w:t>
            </w:r>
          </w:p>
          <w:p>
            <w:pPr>
              <w:spacing w:after="40" w:before="40" w:line="260"/>
              <w:jc w:val="left"/>
            </w:pPr>
            <w:r>
              <w:rPr>
                <w:rFonts w:ascii="游ゴシック" w:cs="游ゴシック" w:eastAsia="游ゴシック" w:hAnsi="游ゴシック"/>
                <w:b/>
                <w:bCs/>
                <w:i w:val="false"/>
                <w:iCs w:val="false"/>
                <w:color w:val="000000"/>
                <w:sz w:val="18"/>
                <w:szCs w:val="18"/>
              </w:rPr>
              <w:t xml:space="preserve">　　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供給体制・人材確保を加えて再構成</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（基本方針4・5に含まれていた</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包括的支援）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地域包括ケアの深化を独立させた</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（基本方針3に含まれていた</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認知症基本法を踏まえ独立章として新設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基本目標</w:t>
            </w:r>
          </w:p>
        </w:tc>
        <w:tc>
          <w:tcPr>
            <w:tcW w:type="pct" w:w="7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1．健康づくりと
　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健康寿命の延伸・フレイル予防・通いの場の充実・口腔と栄養の支援を推進し、高齢者がいつまでも元気に生活できる地域づくりを進めます。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2．高齢者が安心して
　暮らせる仕組みづくり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見守り・地域支え合い・移動支援・住まいの確保等、独居高齢者・高齢者世帯・老老介護世帯が安心して暮らせる仕組みを整えます。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在宅医療・介護連携、家族介護者支援、緊急時対応、住宅改修等により、住み慣れた自宅・地域での生活継続を支援します。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4．介護サービスの
　質の確保と提供体制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介護サービスの質の確保、町外施設利用も含めた供給体制の整備、介護人材の確保・育成を推進します。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5．地域包括ケアシステム
　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地域包括支援センターを中心に、医療・介護・予防・住まい・生活支援を一体的に提供する地域包括ケアシステムをさらに深化させます。</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6．認知症施策の
　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認知症基本法に基づき、認知症の人本人の意思を尊重し、認知症の人もそうでない人もともに暮らせる共生社会の実現を目指します（第6章で独立章として位置付け）。</w:t>
            </w:r>
          </w:p>
        </w:tc>
      </w:tr>
    </w:tbl>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4-3　計画の重点ポイント（4つの重点）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では、上記基本目標を達成するため、以下の4つの重点ポイントを設定します。これらは、川崎町固有の課題（後期高齢者の急増・町外施設依存・移動支援の再構築・認知症基本法対応・8050問題）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w:t>
            </w:r>
          </w:p>
        </w:tc>
        <w:tc>
          <w:tcPr>
            <w:tcW w:type="pct" w:w="2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6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対応する基本目標・関連施策</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認知症基本法対応
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基本目標6を新設し、独立章（第6章）として位置付け。本人意見反映・チームオレンジ整備・認知症カフェ充実</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移動支援の再構築
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基本目標2。タクシー助成終了後の社協・NPO移送＋デマンドバスの周知強化、施設偏在への対応</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地域包括ケアの深化
と家族介護者支援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基本目標3・5。8050問題・老老介護への対応、介護者レスパイト、包括センター体制強化</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広域連携と
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基本目標4。みやぎ県南中核病院等との広域医療連携、住所地特例を含めた施設供給見込量</w:t>
            </w:r>
          </w:p>
        </w:tc>
      </w:tr>
    </w:tbl>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4-4　計画の体系図</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本計画の基本理念・基本目標・施策の体系は以下のとおりです。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C55A11" w:val="solid"/>
          </w:tcPr>
          <w:p>
            <w:pPr>
              <w:spacing w:after="100" w:before="100"/>
              <w:jc w:val="center"/>
            </w:pPr>
            <w:r>
              <w:rPr>
                <w:rFonts w:ascii="游ゴシック" w:cs="游ゴシック" w:eastAsia="游ゴシック" w:hAnsi="游ゴシック"/>
                <w:b/>
                <w:bCs/>
                <w:i w:val="false"/>
                <w:iCs w:val="false"/>
                <w:color w:val="FFFFFF"/>
                <w:sz w:val="22"/>
                <w:szCs w:val="22"/>
              </w:rPr>
              <w:t xml:space="preserve">【基本理念】誰もが健やかに暮らせるまちづくり</w:t>
            </w:r>
          </w:p>
        </w:tc>
      </w:tr>
      <w:tr>
        <w:tc>
          <w:tcPr>
            <w:shd w:fill="FCE4D6" w:val="solid"/>
          </w:tcPr>
          <w:p>
            <w:pPr>
              <w:spacing w:after="80" w:before="80"/>
              <w:jc w:val="center"/>
            </w:pPr>
            <w:r>
              <w:rPr>
                <w:rFonts w:ascii="游ゴシック" w:cs="游ゴシック" w:eastAsia="游ゴシック" w:hAnsi="游ゴシック"/>
                <w:b w:val="false"/>
                <w:bCs w:val="false"/>
                <w:i/>
                <w:iCs/>
                <w:color w:val="C55A11"/>
                <w:sz w:val="20"/>
                <w:szCs w:val="20"/>
              </w:rPr>
              <w:t xml:space="preserve">〜 認知症になっても誰もが自分らしく暮らせる地域共生社会の実現 〜</w:t>
            </w:r>
          </w:p>
        </w:tc>
      </w:tr>
      <w:tr>
        <w:tc>
          <w:p>
            <w:pPr>
              <w:spacing w:after="80" w:before="80"/>
              <w:jc w:val="center"/>
            </w:pPr>
            <w:r>
              <w:rPr>
                <w:rFonts w:ascii="游ゴシック" w:cs="游ゴシック" w:eastAsia="游ゴシック" w:hAnsi="游ゴシック"/>
                <w:b/>
                <w:bCs/>
                <w:i w:val="false"/>
                <w:iCs w:val="false"/>
                <w:color w:val="595959"/>
                <w:sz w:val="24"/>
                <w:szCs w:val="24"/>
              </w:rPr>
              <w:t xml:space="preserve">↓</w:t>
            </w:r>
          </w:p>
        </w:tc>
      </w:tr>
      <w:tr>
        <w:tc>
          <w:tcPr>
            <w:shd w:fill="DAE3F3" w:val="solid"/>
          </w:tcPr>
          <w:p>
            <w:pPr>
              <w:spacing w:after="80" w:before="80"/>
              <w:jc w:val="center"/>
            </w:pPr>
            <w:r>
              <w:rPr>
                <w:rFonts w:ascii="游ゴシック" w:cs="游ゴシック" w:eastAsia="游ゴシック" w:hAnsi="游ゴシック"/>
                <w:b/>
                <w:bCs/>
                <w:i w:val="false"/>
                <w:iCs w:val="false"/>
                <w:color w:val="1F3864"/>
                <w:sz w:val="22"/>
                <w:szCs w:val="22"/>
              </w:rPr>
              <w:t xml:space="preserve">【6つの基本目標】</w:t>
            </w:r>
          </w:p>
        </w:tc>
      </w:tr>
    </w:tbl>
    <w:p>
      <w:pPr>
        <w:spacing w:after="80" w:before="80"/>
      </w:pPr>
      <w:r>
        <w:rPr>
          <w:rFonts w:ascii="游ゴシック" w:cs="游ゴシック" w:eastAsia="游ゴシック" w:hAnsi="游ゴシック"/>
          <w:b w:val="false"/>
          <w:bCs w:val="false"/>
          <w:i w:val="false"/>
          <w:iCs w:val="false"/>
          <w:color w:val="000000"/>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健康づくりと介護予防の推進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5-1</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高齢者が安心して暮らせる仕組みづくり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5-2</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在宅生活の継続支援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5-3</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介護サービスの質の確保と提供体制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5-4</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地域包括ケアシステムの深化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5-5</w:t>
            </w:r>
          </w:p>
        </w:tc>
      </w:tr>
      <w:tr>
        <w:tc>
          <w:tcPr>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認知症施策の総合的推進（新設・独立章）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 第6章</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7030A0"/>
          <w:sz w:val="48"/>
          <w:szCs w:val="48"/>
        </w:rPr>
        <w:t xml:space="preserve">第 5 章</w:t>
      </w:r>
    </w:p>
    <w:p>
      <w:pPr>
        <w:pBdr>
          <w:top w:val="single" w:color="7030A0" w:sz="24"/>
          <w:bottom w:val="single" w:color="7030A0" w:sz="24"/>
        </w:pBdr>
        <w:shd w:fill="E4D6F0" w:val="solid"/>
        <w:spacing w:after="240" w:before="0" w:line="320"/>
        <w:jc w:val="center"/>
      </w:pPr>
      <w:r>
        <w:rPr>
          <w:rFonts w:ascii="游ゴシック" w:cs="游ゴシック" w:eastAsia="游ゴシック" w:hAnsi="游ゴシック"/>
          <w:b/>
          <w:bCs/>
          <w:i w:val="false"/>
          <w:iCs w:val="false"/>
          <w:color w:val="7030A0"/>
          <w:sz w:val="32"/>
          <w:szCs w:val="32"/>
        </w:rPr>
        <w:t xml:space="preserve">施策の展開</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では、第4章で示した6つの基本目標のうち、認知症施策（基本目標6）を除く基本目標1〜5に対応する施策を、施策体系・主な事業・成果指標（KPI）の3層構造で整理します。認知症施策（基本目標6）は第6章で、サービス提供体制と介護人材の確保は第7章で、保険者としての管理・評価は第8章（地域マネジメントの推進）で、それぞれ独立章として詳述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各施策の住民ニーズ根拠は、令和8年6〜7月に実施した2調査（一般高齢者576件・要支援要介護認定者142件）の結果によります。調査結果の全体像は第2章2-6を参照してください。</w:t>
      </w:r>
    </w:p>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5-1　健康づくり・介護予防の推進（基本目標1）</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が生きがいもあると回答しており（趣味が思いつかない人では14.5％）、趣味活動を通じた通いの場づくりが介護予防と生きがいづくりの双方に資すると考えられ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町・国保川崎病院</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pct" w:w="2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町独自指標</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5-2　高齢者が安心して暮らせるまちづくり（基本目標2）</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町・包括・民生委員</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pct" w:w="2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5-3　在宅生活継続の支援（基本目標3）</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申込みの有無を最も強く分けていたのは要介護度の重さではなく家族介護者の有無であり、家族・親族の介護が「ない」層では56.9％が申込済み（介護が「ある」層は13.5％）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家族介護者への支援については、令和8年6〜7月の在宅介護実態調査により介護者の状況が数値で把握できたことを踏まえ、本節の後段に独立した項を設けて整理します。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町・国保川崎病院</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家族介護教室・介護相談・レスパイト（短期入所）の活用支援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8050・老老介護世帯における介護と仕事の両立支援、町内事業所との連携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bl>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家族介護者への支援</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同調査によれば、主な介護者の42.1％が70歳以上であり（n=76）、介護者自身の高齢化が進んで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一方で、家族・親族からの介護がない層が45.8％（n=142）あり、この層の56.9％が既に施設入所を申し込んでいます（介護が「ある」層は13.5％）。さらに、家族介護もサービス利用もない世帯が50件・36.2％（n=138）あり、在宅の要介護認定者（約369人）に外挿すると約134人規模となります。支援が届いていない層をどう把握するかが第10期の課題となり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施設入所の申込みを最も強く分けているのは、要介護度ではなく家族介護者の有無である。家族介護者への支援は、施設サービスの見込量に直接影響する施策である。</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主な事業（家族介護者への支援）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dxa" w:w="9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dxa" w:w="20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dxa" w:w="8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介護方法・認知症の理解・腰痛予防等をテーマとした教室の開催。介護者の不安で最多タイの「認知症状への対応」を重点に扱う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家族介護者の相談・交流の場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介護者どうしが経験を分かち合う集い（ピアサポート）の場を設け、介護者の孤立を防ぐ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短期入所の空き状況の情報提供と利用の調整。介護者の休息を確保する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介護離職の防止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町内事業所（雇用主）と連携した仕事と介護の両立支援の周知、相談窓口の案内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家族介護もサービス利用もない在宅の認定者（約36％）を、ケアマネジャー・民生委員・ふれあいネットワークと連携して把握する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重層的支援体制整備事業に接続し、高齢×子ども×障害の複合的な課題を抱える世帯を支援する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保健福祉課・地域包括支援センター</w:t>
            </w:r>
          </w:p>
        </w:tc>
      </w:tr>
    </w:tbl>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dxa" w:w="8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dxa" w:w="7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dxa" w:w="11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現状値のうち調査によるものは令和8年6〜7月の在宅介護実態調査（有効回答142件）によります。目標値は策定委員会での協議事項です。</w:t>
      </w:r>
    </w:p>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5-4　介護サービスの質の確保と人材確保（基本目標4）</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介護人材の確保については、第1回策定委員会で最大の論点となったことを踏まえ、第10期計画では独立章（第7章 サービス提供体制と介護人材の確保）として整理します。また、介護サービスの質の向上、介護給付の適正化、計画の評価と公表に係る保険者としての取組は、第8章（地域マネジメントの推進）に整理します。本節では、介護サービスの質の確保と、町外施設利用を含めた供給体制の整備を扱い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町・事業所</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5-5　地域包括ケアシステムの深化（基本目標5）</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自立支援型地域ケア会議は、要支援・要介護認定者の自立支援を多職種で検討する仕組みとして既に開催実績がありますが、第10期では多職種連携（医療・介護・地域）の深化、ケース検討から地域課題抽出への展開を重点化します。生活支援コーディネーター（SC）25名・第1層協議体・第2層協議体による生活支援体制整備事業も継続し、ユニバーサルサポーター制度との連動で地域支え合いを促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今回の調査では、家族・友人以外に相談できる相手が「いない」との回答が38.8％（n=484）に上り、その割合は世帯構成によって37.0％から43.5％の範囲と差が小さく、統計的な有意差も認められませんでした。相談窓口の不在は独居かどうかによらない共通の課題であり、対象を絞らない全戸的な周知と、健診・介護予防事業等の接点を活用した働きかけが有効と考えられます。地域福祉計画・障害者計画はジャパン総研が策定担当のため、計画間の整合確認と連動施策の調整を継続的に行い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成果指標（KPI）まとめ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施策分野</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主要KPI候補</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包括実績</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9333B0"/>
          <w:sz w:val="48"/>
          <w:szCs w:val="48"/>
        </w:rPr>
        <w:t xml:space="preserve">第 6 章</w:t>
      </w:r>
    </w:p>
    <w:p>
      <w:pPr>
        <w:pBdr>
          <w:top w:val="single" w:color="9333B0" w:sz="24"/>
          <w:bottom w:val="single" w:color="9333B0" w:sz="24"/>
        </w:pBdr>
        <w:shd w:fill="EAD5F0" w:val="solid"/>
        <w:spacing w:after="240" w:before="0" w:line="320"/>
        <w:jc w:val="center"/>
      </w:pPr>
      <w:r>
        <w:rPr>
          <w:rFonts w:ascii="游ゴシック" w:cs="游ゴシック" w:eastAsia="游ゴシック" w:hAnsi="游ゴシック"/>
          <w:b/>
          <w:bCs/>
          <w:i w:val="false"/>
          <w:iCs w:val="false"/>
          <w:color w:val="9333B0"/>
          <w:sz w:val="32"/>
          <w:szCs w:val="32"/>
        </w:rPr>
        <w:t xml:space="preserve">認知症施策推進計画</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本章は、令和6年1月に施行された「共生社会の実現を推進するための認知症基本法」第14条に基づく市町村認知症施策推進計画として、本計画に独立章として位置付けるものです。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は、認知症の人やその家族が暮らしやすい共生社会の実現を目的とし、市町村に対して認知症施策推進計画の策定を努力義務として課しています。川崎町では、第10期計画期間（令和9〜11年度）に向けて、認知症施策を独立章として位置付けることで、認知症基本法の理念・基本的施策に対応した包括的な計画体系を構築します。</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6-1　認知症基本法と川崎町の対応方針</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認知症基本法の概要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が掲げられています（第3条）。</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川崎町の対応方針</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川崎町では、第10期計画期間（R9〜R11）を通じて、以下の方針で認知症施策を推進します。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本人意見の反映（基本法第3条）：認知症本人・家族の意見を地域包括支援センター及び国保川崎病院経由で聴取し、計画・施策に反映</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7基本的施策の体系化：基本法第15〜21条の7基本的施策に対応した町施策の体系化</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KPIの3層構造化：プロセス（活動量）・アウトプット（成果物）・アウトカム（住民の変化）の3層でKPIを設定</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6-2　認知症施策の体系（7基本的施策）</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認知症基本法第15条から第21条までの7基本的施策と、川崎町の対応施策を以下のとおり対応付けます。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条文</w:t>
            </w:r>
          </w:p>
        </w:tc>
        <w:tc>
          <w:tcPr>
            <w:tcW w:type="pct" w:w="2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基本的施策</w:t>
            </w:r>
          </w:p>
        </w:tc>
        <w:tc>
          <w:tcPr>
            <w:tcW w:type="pct" w:w="6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川崎町の対応</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認知症の人に関する国民の理解の増進等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認知症サポーター養成講座の継続（累計550名）。企業・学校サポーター養成の拡大。世界アルツハイマー月間（9月）に合わせた啓発</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認知症の人の生活におけるバリアフリー化の推進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公共施設・交通・買い物環境におけるバリアフリー化、認知症の人にやさしい地域づくり</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認知症の人の社会参加の機会の確保等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認知症カフェ「喫茶みかん」の運営継続。認知症本人ミーティング・ピアサポート活動の場の確保</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認知症の人の意思決定の支援及び権利利益の保護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成年後見制度の利用促進、日常生活自立支援事業の活用、意思決定支援研修の実施</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保健医療・福祉サービスの提供体制の整備等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認知症初期集中支援チームの強化、認知症地域支援推進員の配置、国保川崎病院との連携強化</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相談体制の整備等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地域包括支援センター（社協運営）における認知症相談窓口の充実、もの忘れ相談の継続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研究等の推進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認知症本人・家族の意見聴取（基本法第3条対応）、認知症施策への当事者参画</w:t>
            </w:r>
          </w:p>
        </w:tc>
      </w:tr>
    </w:tbl>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6-3　重点施策とKPI</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の7基本的施策（第15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重点施策（5本柱）</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J-1（サポーター拡大）とJ-3（認知症カフェ等）は既存施策の質的拡充、J-2（チームオレンジ）とJ-3（本人ミーティング）の一部は基本法対応の新規整備、J-4（早期発見・対応）とJ-5（医療連携）は本町の医療資源（国民健康保険川崎病院）を活かした体制強化として位置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2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重点施策</w:t>
            </w:r>
          </w:p>
        </w:tc>
        <w:tc>
          <w:tcPr>
            <w:tcW w:type="pct" w:w="64%"/>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累計550名のサポーターを基盤に、企業・学校サポーターを増やし、活動の質を向上。キャラバンメイト（累計73名）の活動継続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チームオレンジの整備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認知症サポーターのうち、地域でステップアップしたメンバーによるチームオレンジを整備。本人・家族支援を実践</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認知症カフェ「喫茶みかん」の運営継続。認知症本人ミーティングの新設</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認知症初期集中支援チームの強化、認知症地域支援推進員の活動、もの忘れ相談の継続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認知症診断・治療における国保川崎病院との連携、認知症初期段階からの医療フォロー</w:t>
            </w:r>
          </w:p>
        </w:tc>
      </w:tr>
    </w:tbl>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KPIの3層構造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層</w:t>
            </w:r>
          </w:p>
        </w:tc>
        <w:tc>
          <w:tcPr>
            <w:tcW w:type="pct" w:w="4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プロセス
（活動量）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
（成果物）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550名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チームオレンジ整備状況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整備</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アウトカム
（住民の変化）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増加</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増加</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認知症本人・家族の意見聴取は、郵送のアンケート調査とは別チャネル（地域包括支援センター・国保川崎病院経由）で実施します。聴取結果はVer.2.0で本章に反映します。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9333B0"/>
          <w:sz w:val="48"/>
          <w:szCs w:val="48"/>
        </w:rPr>
        <w:t xml:space="preserve">第 7 章</w:t>
      </w:r>
    </w:p>
    <w:p>
      <w:pPr>
        <w:pBdr>
          <w:top w:val="single" w:color="9333B0" w:sz="24"/>
          <w:bottom w:val="single" w:color="9333B0" w:sz="24"/>
        </w:pBdr>
        <w:shd w:fill="EAD5F0" w:val="solid"/>
        <w:spacing w:after="240" w:before="0" w:line="320"/>
        <w:jc w:val="center"/>
      </w:pPr>
      <w:r>
        <w:rPr>
          <w:rFonts w:ascii="游ゴシック" w:cs="游ゴシック" w:eastAsia="游ゴシック" w:hAnsi="游ゴシック"/>
          <w:b/>
          <w:bCs/>
          <w:i w:val="false"/>
          <w:iCs w:val="false"/>
          <w:color w:val="9333B0"/>
          <w:sz w:val="32"/>
          <w:szCs w:val="32"/>
        </w:rPr>
        <w:t xml:space="preserve">サービス提供体制と介護人材の確保</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本章は介護保険法第117条第3項第1号「各年度における種類ごとの介護給付等対象サービスの量の見込みを確保するための方策」に対応する。</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7-1　サービス提供体制の現状</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本章の考え方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提供体制の概況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b w:val="false"/>
          <w:bCs w:val="false"/>
          <w:i/>
          <w:iCs/>
          <w:color w:val="595959"/>
          <w:sz w:val="16"/>
          <w:szCs w:val="16"/>
        </w:rPr>
        <w:t xml:space="preserve">出典：第2章2-7　サービス供給体制の状況。事業所一覧（名称・種別・定員・所在）は確認事項No.29</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7-2　供給の制約とその影響</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供給側の事象</w:t>
            </w:r>
          </w:p>
        </w:tc>
        <w:tc>
          <w:tcPr>
            <w:tcW w:type="dxa" w:w="10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見込量への影響</w:t>
            </w:r>
          </w:p>
        </w:tc>
        <w:tc>
          <w:tcPr>
            <w:tcW w:type="dxa" w:w="1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給付費・保険料への影響</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給付費は抑制されるが、必要とする方が入所できない</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在宅への移行を前提とした見込量が実現しない</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施設・居住系の給付費が高止まりする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町外施設への依存が一層強まり、給付費の管理が難しくなる</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事業所ヒアリングによる供給可能量の把握（令和8年9〜10月に実施し、以後は毎年度実施する）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中山間・人口減少地域に対応した国・県の制度の活用</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地域密着型サービスの認知向上と利用促進（第1回策定委員会でのご意見による）</w:t>
      </w:r>
      <w:r>
        <w:rPr>
          <w:rFonts w:ascii="游ゴシック" w:cs="游ゴシック" w:eastAsia="游ゴシック" w:hAnsi="游ゴシック"/>
          <w:b w:val="false"/>
          <w:bCs w:val="false"/>
          <w:i w:val="false"/>
          <w:iCs w:val="false"/>
          <w:color w:val="000000"/>
          <w:sz w:val="20"/>
          <w:szCs w:val="20"/>
        </w:rPr>
        <w:t xml:space="preserve"/>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国・県の支援制度の活用可能性については、町の関係課及び宮城県への照会を進めており（確認事項No.63〜67）、その結果をVer.2.0で本節に反映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7-4　介護人材の確保</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dxa" w:w="9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dxa" w:w="20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dxa" w:w="8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企画課・保健福祉課</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各事業の実施は、確認事項No.63〜68に対する町・県のご回答を踏まえて確定します。財政負担を伴う事業は、令和9年度当初予算の編成過程で判断します。</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7-5　介護現場の生産性向上</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dxa" w:w="9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dxa" w:w="20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dxa" w:w="8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年1回の事業所ヒアリング（職員数、稼働の状況、経営の状況、必要な支援）</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地域ケア会議・地域密着型サービス運営委員会等の既存の場を活用した情報共有</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把握した内容の策定委員会及び地域包括ケア推進の場への報告</w:t>
      </w:r>
      <w:r>
        <w:rPr>
          <w:rFonts w:ascii="游ゴシック" w:cs="游ゴシック" w:eastAsia="游ゴシック" w:hAnsi="游ゴシック"/>
          <w:b w:val="false"/>
          <w:bCs w:val="false"/>
          <w:i w:val="false"/>
          <w:iCs w:val="false"/>
          <w:color w:val="000000"/>
          <w:sz w:val="20"/>
          <w:szCs w:val="20"/>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の仕組みは、保険者機能強化推進交付金の評価指標「介護人材の確保・サービス提供基盤の整備」にも対応します。同交付金の当該目標は令和8年度で73点（満点100点・全国平均50.85点）であり、取組を計画に位置付け、実施し、評価・公表することで、さらに得点を高める余地があります。</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dxa" w:w="8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dxa" w:w="7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dxa" w:w="11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保健福祉課</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現状値・目標値は第2回策定委員会での協議事項です。事業所ヒアリングの結果を踏まえてVer.2.0で確定します。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9333B0"/>
          <w:sz w:val="48"/>
          <w:szCs w:val="48"/>
        </w:rPr>
        <w:t xml:space="preserve">第 8 章</w:t>
      </w:r>
    </w:p>
    <w:p>
      <w:pPr>
        <w:pBdr>
          <w:top w:val="single" w:color="9333B0" w:sz="24"/>
          <w:bottom w:val="single" w:color="9333B0" w:sz="24"/>
        </w:pBdr>
        <w:shd w:fill="EAD5F0" w:val="solid"/>
        <w:spacing w:after="240" w:before="0" w:line="320"/>
        <w:jc w:val="center"/>
      </w:pPr>
      <w:r>
        <w:rPr>
          <w:rFonts w:ascii="游ゴシック" w:cs="游ゴシック" w:eastAsia="游ゴシック" w:hAnsi="游ゴシック"/>
          <w:b/>
          <w:bCs/>
          <w:i w:val="false"/>
          <w:iCs w:val="false"/>
          <w:color w:val="9333B0"/>
          <w:sz w:val="32"/>
          <w:szCs w:val="32"/>
        </w:rPr>
        <w:t xml:space="preserve">地域マネジメントの推進</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章は、保険者機能強化推進交付金・介護保険保険者努力支援交付金の評価指標に直接対応する。令和8年度の評価では、目標Ⅰの「評価結果の活用」が16点から0点に、目標Ⅱの「給付費適正化事業の取組状況」が6点から0点となった。本章の各節は、この2つの回復を具体的な目的とする。</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なお、介護現場の生産性向上（ICT・介護ロボット・介護助手の活用）は、保険者としての支援と事業所への支援の両面を持つため、第7章7-5に整理しています。</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8-2　介護給付の適正化</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給付の適正化は、必要なサービスを適切に提供しつつ、不適切な給付を削減する取組です。令和8年度の交付金評価では「給付費適正化事業の取組状況」が6点から0点となっており、第10期の重点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w:t>
            </w:r>
          </w:p>
        </w:tc>
        <w:tc>
          <w:tcPr>
            <w:tcW w:type="dxa" w:w="1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dxa" w:w="10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実施の考え方</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全件点検を基本とする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年間の点検件数を定めて実施する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交付金の減点項目。実施の状況を確認する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ケアプラン点検と一体で実施する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実施の要否を費用対効果を踏まえて検討する</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の取組は、交付金の活動指標群のうち「今年度の評価点」及び「後期高齢者数と給付費の伸び率の比較」に対応します。令和8年度の評価ではいずれも3点から0点となっており、様式を定めて継続することで回復でき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毎年度、サービス種類別の計画値と実績値を対比する（様式を固定する）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後期高齢者数の伸び率と給付費の伸び率を比較し、その差の要因を記録する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分析の結果を町ホームページで公表し、次年度の事業計画に反映する</w:t>
      </w:r>
      <w:r>
        <w:rPr>
          <w:rFonts w:ascii="游ゴシック" w:cs="游ゴシック" w:eastAsia="游ゴシック" w:hAnsi="游ゴシック"/>
          <w:b w:val="false"/>
          <w:bCs w:val="false"/>
          <w:i w:val="false"/>
          <w:iCs w:val="false"/>
          <w:color w:val="000000"/>
          <w:sz w:val="20"/>
          <w:szCs w:val="20"/>
        </w:rPr>
        <w:t xml:space="preserve"/>
      </w:r>
    </w:p>
    <w:p>
      <w:pPr>
        <w:spacing w:after="80" w:before="30" w:line="260"/>
        <w:jc w:val="right"/>
      </w:pPr>
      <w:r>
        <w:rPr>
          <w:rFonts w:ascii="游ゴシック" w:cs="游ゴシック" w:eastAsia="游ゴシック" w:hAnsi="游ゴシック"/>
          <w:b w:val="false"/>
          <w:bCs w:val="false"/>
          <w:i/>
          <w:iCs/>
          <w:color w:val="595959"/>
          <w:sz w:val="16"/>
          <w:szCs w:val="16"/>
        </w:rPr>
        <w:t xml:space="preserve">出典：サービス別 計画値・実績値 対比表（別冊）</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8-4　評価結果の活用と公表</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8年度の交付金評価では「評価結果の活用」のア〜エがすべて0点となりました（令和7年度は各4点で満点）。この指標は、施策の評価結果を計画に反映し、公表しているかを問うものです。取組そのものではなく、評価結果を計画に反映して公表する手順が定まっているかが要件となり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毎年度、第10章のKPI管理表により指標の達成状況を評価する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評価の結果を策定委員会（又は同等の組織）に報告し、次年度の事業計画に反映する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評価の結果と、計画に反映した内容を町ホームページで公表する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公表の時期・様式をあらかじめ定め、担当を固定する</w:t>
      </w:r>
      <w:r>
        <w:rPr>
          <w:rFonts w:ascii="游ゴシック" w:cs="游ゴシック" w:eastAsia="游ゴシック" w:hAnsi="游ゴシック"/>
          <w:b w:val="false"/>
          <w:bCs w:val="false"/>
          <w:i w:val="false"/>
          <w:iCs w:val="false"/>
          <w:color w:val="000000"/>
          <w:sz w:val="20"/>
          <w:szCs w:val="20"/>
        </w:rPr>
        <w:t xml:space="preserve"/>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「評価結果の活用」の16点は、第10期で回復可能な得点である。評価を実施すること自体ではなく、評価結果を計画に反映し公表する手順を定めることが要件となる。</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0F4F73"/>
          <w:sz w:val="48"/>
          <w:szCs w:val="48"/>
        </w:rPr>
        <w:t xml:space="preserve">第 9 章</w:t>
      </w:r>
    </w:p>
    <w:p>
      <w:pPr>
        <w:pBdr>
          <w:top w:val="single" w:color="0F4F73" w:sz="24"/>
          <w:bottom w:val="single" w:color="0F4F73" w:sz="24"/>
        </w:pBdr>
        <w:shd w:fill="D6E4F0" w:val="solid"/>
        <w:spacing w:after="240" w:before="0" w:line="320"/>
        <w:jc w:val="center"/>
      </w:pPr>
      <w:r>
        <w:rPr>
          <w:rFonts w:ascii="游ゴシック" w:cs="游ゴシック" w:eastAsia="游ゴシック" w:hAnsi="游ゴシック"/>
          <w:b/>
          <w:bCs/>
          <w:i w:val="false"/>
          <w:iCs w:val="false"/>
          <w:color w:val="0F4F73"/>
          <w:sz w:val="32"/>
          <w:szCs w:val="32"/>
        </w:rPr>
        <w:t xml:space="preserve">介護保険サービス見込量と保険料</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では、第10期計画期間（令和9〜11年度）の介護保険サービス見込量と、それに基づく介護保険料の試算を示します。本素案Ver.1.12では、令和8年9月1日に町からご提供いただいた実績データ等により算定した保険料の概算試算を掲載しています。これは確定値ではなく仮試算であり、国民健康保険団体連合会の給付実績、所得段階別被保険者数、調整交付金の交付実績、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本章は介護保険法第117条第2項第2号「各年度における種類ごとの介護給付等対象サービスの量の見込み」に対応する計画の核心部分である。</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 xml:space="preserve">9-1　サービス見込量の推計</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推計の基本ロジック</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サービス見込量は、以下の基本ロジックに基づき算定します。</w:t>
      </w:r>
    </w:p>
    <w:p>
      <w:pPr>
        <w:pBdr>
          <w:top w:val="single" w:color="0F4F73" w:sz="12"/>
          <w:bottom w:val="single" w:color="0F4F73" w:sz="12"/>
        </w:pBdr>
        <w:shd w:fill="D6E4F0" w:val="solid"/>
        <w:spacing w:after="200" w:before="200" w:line="360"/>
        <w:jc w:val="center"/>
      </w:pPr>
      <w:r>
        <w:rPr>
          <w:rFonts w:ascii="游ゴシック" w:cs="游ゴシック" w:eastAsia="游ゴシック" w:hAnsi="游ゴシック"/>
          <w:b/>
          <w:bCs/>
          <w:i w:val="false"/>
          <w:iCs w:val="false"/>
          <w:color w:val="0F4F73"/>
          <w:sz w:val="26"/>
          <w:szCs w:val="26"/>
        </w:rPr>
        <w:t xml:space="preserve">見込量 = 将来人口 × 認定率 × 利用率 × 1人当たり利用量</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この基本式に、川崎町固有の補正要素（住所地特例による町外施設利用、認知症基本法対応の地域支援事業拡充、ユニバーサルサポーター制度による軽度認定者の重度化抑制等）を組み込みます。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の基本式は、地域包括ケア「見える化」システムの推計ツールが用いる自然体推計と同じ考え方です。自然体推計では、要介護認定率、施設・居住系サービスの利用率、在宅サービスの利用率、1人1月あたりの利用回（日）数について、直近年度の実績が将来も継続すると仮定して推計します。施設サービス（介護老人福祉施設・地域密着型介護老人福祉施設・介護老人保健施設）については、計画期間中は直近年度の利用者数が一定であると仮定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の見込量が3か年でほぼ同一の値となっているのは、この自然体推計の仕様によるものであり、町が施策による調整（施策反映）を加えていないためです。第10期では、自然体推計を出発点としたうえで、介護予防の強化、在宅サービスの利用勧奨、サービス提供体制の制約といった要素をどこまで見込量に反映させるかが論点となり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要素</w:t>
            </w:r>
          </w:p>
        </w:tc>
        <w:tc>
          <w:tcPr>
            <w:tcW w:type="pct" w:w="5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採用データ・方針</w:t>
            </w:r>
          </w:p>
        </w:tc>
        <w:tc>
          <w:tcPr>
            <w:tcW w:type="pct" w:w="3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根拠・出典</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国立社会保障・人口問題研究所「日本の地域別将来推計人口（令和5年推計）」を基本。住民基本台帳との突合で補正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社人研R5推計</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②認定率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性別・年齢階級別（5歳階級）認定率を、直近5年間（R3〜R7）の実績推移から算定。後期高齢者の急増局面を反映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町保険者データ</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国保連データから、サービス種類別の利用率（認定者中の利用者割合）を算定。直近年度を基本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国保連・町実績</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④1人当たり
　利用量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実績データから月平均利用量（訪問介護＝時間、通所介護＝回数、施設＝日数等）を算定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町給付実績</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Step</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作業</w:t>
            </w:r>
          </w:p>
        </w:tc>
        <w:tc>
          <w:tcPr>
            <w:tcW w:type="pct" w:w="7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社人研データから令和9〜11年度の年齢階級別人口（前期高齢者・75〜85歳未満・85歳以上）を推計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認定者推計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年齢階級別認定率を将来人口に乗じて、要介護度別認定者数を推計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利用率算定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国保連データから、サービス種類別の利用率（認定者中の利用者割合）を算定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見込量推計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認定者推計 × 利用率 × 1人当たり利用量 により、年度別・サービス種類別の見込量を算定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アンケート補正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一般高齢者ニーズ調査・認定者調査の結果から、潜在ニーズ・利用意向を反映して見込量を補正</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見える化登録・比較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見える化システムに登録し、仙南圏域（柴田町・大河原町・村田町・丸森町・蔵王町・七ヶ宿町）と比較確認</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年度別サービス見込量（数値枠）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第10期計画期間中（令和9〜11年度）の年度別・サービス種類別見込量は、上記6ステップを経て下表のとおり算定します。本素案Ver.1.12では枠のみ提示し、Ver.2.0で確定値を記載します。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3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サービス種類</w:t>
            </w:r>
          </w:p>
        </w:tc>
        <w:tc>
          <w:tcPr>
            <w:tcW w:type="pct" w:w="1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単位</w:t>
            </w:r>
          </w:p>
        </w:tc>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11%"/>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w:t>
            </w:r>
          </w:p>
        </w:tc>
        <w:tc>
          <w:tcPr>
            <w:tcW w:type="pct" w:w="11%"/>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R10</w:t>
            </w:r>
          </w:p>
        </w:tc>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R11</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通所介護（デイサービス）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通所リハビリ（デイケア）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短期入所（ショートステイ）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福祉用具・住宅改修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件/月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地域
密着型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認知症対応型共同生活介護（GH）</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地域
密着型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小規模多機能型居宅介護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介護老人福祉施設（特養・町外含む）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68人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介護老人保健施設（老健・町外含む）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介護療養型・介護医療院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出典：R3実績：年報データ2021／R9〜R11見込み：Ver.2.0で確定（社人研推計＋6ステップ算定）</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年度別・サービス種類別見込量の確定値は、町担当課提供データ、国保連データ、アンケート結果、国通知の反映を経て、Ver.2.0で記載します。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町外施設の建設計画・受入余地等の情報収集を行い、川崎町民の施設利用継続を担保する</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地域支援事業（介護予防・日常生活支援総合事業、包括的支援事業、任意事業）の量の見込みも、サービス見込量と同様に第10期計画期間中の年度別実施量を算定します。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4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R9〜R11見込み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介護予防・生活支援サービス事業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約565万円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【町確認・アンケート結果反映後確定】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約195万円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【ユニバーサルサポーター制度との整合確認】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包括的支援・任意事業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約2,447万円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【包括センター体制強化を反映】</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合計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約3,207万円</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【国の上限額管理基準を踏まえ確定】</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出典：R3実績：年報データ2021・様式4／R9〜R11見込み：Ver.2.0で確定</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 xml:space="preserve">9-2　介護給付費の見込み</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給付費算定の構造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介護給付費の見込みは、サービス見込量に各種単価・加算率を乗じて算定します。標準給付費見込額は、保険料算定の出発点となる極めて重要な数値です。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6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サービス見込量 × サービス種類別単価 × 加算率 で算定。3年間の累計値</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自己負担月額の上限超過分の払戻し（R3実績 約2,682万円）</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高額医療合算介護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医療＋介護の合算自己負担上限超過分（R3実績 約240万円）</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特定入所者介護費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低所得施設入所者の食費・居住費補足給付（R3実績 約5,247万円）</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 保険給付費総額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R3実績：約10.4億円。第10期で給付費上方圧力（後期高齢者+10.9%）が見込まれる</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総合事業・包括的支援事業・任意事業（R3実績 約3,207万円）</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第10期 給付費見込み（令和8年9月時点の仮試算）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R10</w:t>
            </w:r>
          </w:p>
        </w:tc>
        <w:tc>
          <w:tcPr>
            <w:tcW w:type="pct" w:w="1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標準給付費（サービス種類別）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約9.6億円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【Ver.2.0で内訳】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【Ver.2.0で内訳】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【Ver.2.0で内訳】</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高額・特定入所者等を加算</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+約0.8億円</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【Ver.2.0で内訳】</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【Ver.2.0で内訳】</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【Ver.2.0で内訳】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保険給付費総額（標準給付費見込額）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約10.4億円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1,140,363千円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1,157,469千円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1,174,831千円</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約0.32億円</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45,272千円</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45,272千円</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45,272千円</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3年累計（仮試算・中位ケース）</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3,608,480千円（標準給付費3,472,663＋地域支援事業費135,817）</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出典：R3実績：年報データ2021／R9〜R11：令和8年9月時点の概算試算（中位ケース・仮試算）。サービス種類別の内訳と確定値はVer.2.0で記載</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上表の令和9〜11年度は、令和8年度の保険給付費見込額1,106,907千円を基礎に、給付費が年1.5％増加し、令和9年度に介護報酬が1.5％改定されると仮定した中位ケースの仮試算です。3年間の標準給付費は3,472,663千円（第9期計画3,294,553千円に対し+5.4％）、地域支援事業費は135,817千円（同91,560千円に対し+48.3％）となります。国民健康保険団体連合会の給付実績によるサービス種類別の積上げを経て、Ver.2.0で確定値に置き換え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では、後期高齢者の増加と認知症基本法対応に伴う認知症施策の拡充により、給付費の上方圧力が見込まれます。一方で、令和6年度から令和7年度にかけて標準給付費が1,093,253千円から1,085,203千円へ0.7％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おり、供給可能量の分析を踏まえた推計が必要です。</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 xml:space="preserve">9-3　介護保険料の試算（8ステップ・3パターン）</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期</w:t>
            </w:r>
          </w:p>
        </w:tc>
        <w:tc>
          <w:tcPr>
            <w:tcW w:type="pct" w:w="2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計画期間</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月額基準額</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対前期</w:t>
            </w:r>
          </w:p>
        </w:tc>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第8期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R3〜R5年度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年報2021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R6〜R8年度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+120円
(+1.9%)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第9期計画書</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第10期
（本計画）</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R9〜R11年度</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A 7,703円／B 7,023円／C 6,344円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A +1,203円／B +523円／C ▲156円</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本計画（令和8年9月時点の仮試算）</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w:t>
      </w:r>
    </w:p>
    <w:p>
      <w:pPr>
        <w:spacing w:after="60" w:before="120"/>
        <w:jc w:val="center"/>
      </w:pPr>
      <w: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図9-1　介護保険料月額基準額の推移と第10期の仮試算3パターン（令和8年9月時点・確定値は第3回策定委員会で決定）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では、後期高齢者の増加に伴う認定者・給付費増、認知症基本法対応に伴う認知症施策の拡充、地域支援事業の充実等により、給付費の上方圧力が見込まれます。一方で、介護給付費準備基金の取崩し、収納率の維持（総合収納率は令和2〜6年度で96.4〜96.7％）等により、保険料水準の抑制が可能となります。なお、所得段階の13段階化は令和6年度に実施済みであり、第10期の抑制要因にはあたりません。最終的な保険料基準額は、第3回策定委員会（令和9年1月）での協議を経て決定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保険料算定の8ステップ</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Step</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作業名</w:t>
            </w:r>
          </w:p>
        </w:tc>
        <w:tc>
          <w:tcPr>
            <w:tcW w:type="pct" w:w="7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標準給付費見込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9-1で確定したサービス見込量×単価×加算率で、3年間の標準給付費を算出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（標準給付費＋地域支援事業費）× 第1号被保険者負担割合。第9期は23％。第10期の割合は政令で定められ、24％となった場合は月額約322円の上昇となる（確認事項No.61）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後期高齢者割合・所得段階別人口により交付率を算定。第9期計画の見込率は3.9％（129,349千円／標準給付費3,294,553千円）、令和8年度の見込率は3.67％。本試算は3.7％を用いており、交付実績の確認を要する（確認事項No.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第9期で借入があれば償還金計上（川崎町では従来借入なし）</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6</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介護給付費準備基金
取崩額</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Step1〜6を反映した3年間の収納必要額</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8</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保険料基準額算定</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保険料収納必要額 ÷ 予定保険料収納率 ÷ 所得段階別加入割合補正後被保険者数 ÷ 12 で月額基準額を決定</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保険料基準額の算定式</w:t>
      </w:r>
    </w:p>
    <w:p>
      <w:pPr>
        <w:pBdr>
          <w:top w:val="single" w:color="0F4F73" w:sz="12"/>
          <w:bottom w:val="single" w:color="0F4F73" w:sz="12"/>
        </w:pBdr>
        <w:shd w:fill="D6E4F0" w:val="solid"/>
        <w:spacing w:after="200" w:before="200" w:line="360"/>
        <w:jc w:val="center"/>
      </w:pPr>
      <w:r>
        <w:rPr>
          <w:rFonts w:ascii="游ゴシック" w:cs="游ゴシック" w:eastAsia="游ゴシック" w:hAnsi="游ゴシック"/>
          <w:b/>
          <w:bCs/>
          <w:i w:val="false"/>
          <w:iCs w:val="false"/>
          <w:color w:val="0F4F73"/>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こで、「保険料収納必要額」は3年間の合計値です。「所得段階別加入割合補正後被保険者数」は、所得段階別の被保険者数に各段階の基準額に対する割合（乗率）を乗じて合計した値で、第9期計画では3か年計9,875人としています。「予定保険料収納率」は次節で詳述します。この算定式は、地域包括ケア「見える化」システムの推計ツールが用いる算式と同一であり、第9期計画書95頁の保険料算出表もこの式によってい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6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148,100千円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152,500千円（保険料に換算して月額約1,359円分）</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 取崩額（3パターン）</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A：取崩なし 0千円／B：50％取崩 76,250千円／C：全額取崩 152,500千円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基金温存（パターンA）は次期の保険料急騰リスクを抑制／全額取崩（パターンC）は次期の負担が増大</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試算3パターン</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の介護保険料は、介護給付費準備基金の取崩額を主な変動要因として、以下の3パターンを試算しました。掲載した月額基準額は令和8年9月時点の仮試算であり、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パターン</w:t>
            </w:r>
          </w:p>
        </w:tc>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基金取崩方針</w:t>
            </w:r>
          </w:p>
        </w:tc>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特徴</w:t>
            </w:r>
          </w:p>
        </w:tc>
        <w:tc>
          <w:tcPr>
            <w:tcW w:type="pct" w:w="1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月額基準額（仮試算・中位）</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第11期影響</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基金取崩なし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7,703円（第9期比 +1,203円）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緩和</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基金50%取崩</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給付費増を一部相殺し、現実的な保険料水準を維持。次期負担との均衡を取る</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7,023円（第9期比 +523円）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中位</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基金全額取崩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6,344円（第9期比 ▲156円）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増大</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令和8年9月2日時点で入手している資料により、中位ケース（給付費の自然増を年1.5％、令和9年度の介護報酬改定を+1.5％と仮定）で試算すると、月額基準額はパターンA 7,703円、パターンB 7,023円、パターンC 6,344円となります。第9期の6,500円との差は、それぞれ+1,203円、+523円、▲156円です。パターンCで第9期を下回るのは、準備基金152,500千円が保険料に換算して月額約1,359円分に相当するためです。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の試算は、国民健康保険団体連合会の給付実績、所得段階別被保険者数、調整交付金の交付実績、及び令和9年度の介護報酬改定の内容が未確定の段階での仮試算です。給付費の伸びを年0.5％・報酬改定なしとした低位ケースでは7,446円・6,766円・6,087円、年2.5％・報酬改定+2.5％とした高位ケースでは7,928円・7,249円・6,569円となります。また、第10期の第1号被保険者負担割合が24％と定められた場合は、パターンBで約7,345円となります。確定値は第3回策定委員会（令和9年1月）でお示し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第9期（令和6年度〜・現行）</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段階数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最低段階の保険料率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最高段階の保険料率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高所得層の乗率の引上げ（弾力化）の可否</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川崎町への影響</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第1〜第3段階（住民税世帯非課税）979人・30.1％（令和3年度）</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所得段階別被保険者数の提供を受けて負担への影響を試算（確認事項No.10）</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予定収納率の設定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予定収納率は、過去の保険料収納率の実績を踏まえて設定します。川崎町の総合収納率（滞納繰越分を含む）は令和2年度から令和6年度まで96.4〜96.7％で推移しており、令和8年度の見込みは97.0％です。本計画の概算試算では、第9期計画と同じ96.0％を用いています。なお、町提供実績データの令和7年度の値99.6％は他の年度と乖離しており、現年度分の収納率と取り違えている可能性があるため確認中です（確認事項No.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令和3年度（年報）</w:t>
            </w:r>
          </w:p>
        </w:tc>
        <w:tc>
          <w:tcPr>
            <w:tcW w:type="pct" w:w="4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町提供実績データ（決算書）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特別徴収（年金天引）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87.3%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現年度分計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99.0%</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総合計（滞納繰越分含む）</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96.3%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R2 96.6／R3 96.4／R4 96.7／R5 96.6／R6 96.7／R7 99.6（他年度と乖離があり確認中）／R8見込 97.0（％）</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出典：令和3年度：年報データ2021・様式3／令和2〜8年度：町提供実績データ（令和8年9月1日受領・05シート、出典は決算書）</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自治体・区分</w:t>
            </w:r>
          </w:p>
        </w:tc>
        <w:tc>
          <w:tcPr>
            <w:tcW w:type="pct" w:w="2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第9期保険料
（月額基準額）</w:t>
            </w:r>
          </w:p>
        </w:tc>
        <w:tc>
          <w:tcPr>
            <w:tcW w:type="pct" w:w="3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6,500円</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同上。川崎町は県内35市町村中 第10〜12位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全国 加重平均</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6,225円</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厚生労働省 第9期介護保険料の状況</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県内順位は宮城県公表の市町村別保険料一覧（第9期）により確認済みです。第10期の比較値は、各市町村の計画確定後に更新します。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所得段階別保険料（第10期は仮試算）</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所得段階別の保険料は、基準額に各段階の乗率を乗じて算定します。下表は、令和6年度から適用している13段階の乗率をそのまま用い、第10期の仮試算Ｂ（基金50％取崩・月額7,023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150"/>
        <w:gridCol w:w="80"/>
        <w:gridCol w:w="105"/>
        <w:gridCol w:w="110"/>
      </w:tblGrid>
      <w:tr>
        <w:tc>
          <w:tcPr>
            <w:tcW w:type="dxa" w:w="55"/>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dxa" w:w="15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対象</w:t>
            </w:r>
          </w:p>
        </w:tc>
        <w:tc>
          <w:tcPr>
            <w:tcW w:type="dxa" w:w="8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基準額に対する割合</w:t>
            </w:r>
          </w:p>
        </w:tc>
        <w:tc>
          <w:tcPr>
            <w:tcW w:type="dxa" w:w="105"/>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 月額</w:t>
            </w:r>
          </w:p>
        </w:tc>
        <w:tc>
          <w:tcPr>
            <w:tcW w:type="dxa" w:w="11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 月額（仮試算Ｂ）</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0.455（軽減後0.285）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2,957.5円（軽減後1,852.5円）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3,195円（軽減後2,002円）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0.685（軽減後0.485）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4,452.5円（軽減後3,152.5円）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4,811円（軽減後3,406円）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0.690（軽減後0.685）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4,485円（軽減後4,452.5円）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4,846円（軽減後4,811円）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0.90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5,850円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6,321円</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第5段階（基準）</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世帯課税・本人非課税／年金収入等80万円超</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1.00</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6,500円</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7,023円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7,800円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8,428円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8,450円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9,130円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9,750円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10,535円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11,050円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11,939円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13,344円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14,748円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16,153円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2.40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16,855円</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乗率及び第9期月額は第9期計画書95頁。第10期月額は令和8年9月時点の仮試算Ｂ（月額7,023円）に第9期の乗率を乗じた参考値であり、国の標準乗率の提示及び所得段階別被保険者数（確認事項No.10）の確認を経て確定する</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確定スケジュール</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⑤　</w:t>
      </w:r>
      <w:r>
        <w:rPr>
          <w:rFonts w:ascii="游ゴシック" w:cs="游ゴシック" w:eastAsia="游ゴシック" w:hAnsi="游ゴシック"/>
          <w:b w:val="false"/>
          <w:bCs w:val="false"/>
          <w:i w:val="false"/>
          <w:iCs w:val="false"/>
          <w:color w:val="000000"/>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⑥　</w:t>
      </w:r>
      <w:r>
        <w:rPr>
          <w:rFonts w:ascii="游ゴシック" w:cs="游ゴシック" w:eastAsia="游ゴシック" w:hAnsi="游ゴシック"/>
          <w:b w:val="false"/>
          <w:bCs w:val="false"/>
          <w:i w:val="false"/>
          <w:iCs w:val="false"/>
          <w:color w:val="000000"/>
          <w:sz w:val="20"/>
          <w:szCs w:val="20"/>
        </w:rPr>
        <w:t xml:space="preserve">令和9年1〜2月：パブリックコメントの実施</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⑦　</w:t>
      </w:r>
      <w:r>
        <w:rPr>
          <w:rFonts w:ascii="游ゴシック" w:cs="游ゴシック" w:eastAsia="游ゴシック" w:hAnsi="游ゴシック"/>
          <w:b w:val="false"/>
          <w:bCs w:val="false"/>
          <w:i w:val="false"/>
          <w:iCs w:val="false"/>
          <w:color w:val="000000"/>
          <w:sz w:val="20"/>
          <w:szCs w:val="20"/>
        </w:rPr>
        <w:t xml:space="preserve">令和9年3月：3月議会へ条例改正案を上程、可決後に公表</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404040"/>
          <w:sz w:val="48"/>
          <w:szCs w:val="48"/>
        </w:rPr>
        <w:t xml:space="preserve">第 10 章</w:t>
      </w:r>
    </w:p>
    <w:p>
      <w:pPr>
        <w:pBdr>
          <w:top w:val="single" w:color="404040" w:sz="24"/>
          <w:bottom w:val="single" w:color="404040" w:sz="24"/>
        </w:pBdr>
        <w:shd w:fill="E2E8F0" w:val="solid"/>
        <w:spacing w:after="240" w:before="0" w:line="320"/>
        <w:jc w:val="center"/>
      </w:pPr>
      <w:r>
        <w:rPr>
          <w:rFonts w:ascii="游ゴシック" w:cs="游ゴシック" w:eastAsia="游ゴシック" w:hAnsi="游ゴシック"/>
          <w:b/>
          <w:bCs/>
          <w:i w:val="false"/>
          <w:iCs w:val="false"/>
          <w:color w:val="404040"/>
          <w:sz w:val="32"/>
          <w:szCs w:val="32"/>
        </w:rPr>
        <w:t xml:space="preserve">計画の推進体制と評価</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本計画を着実に推進し、その効果を最大化するため、推進体制・進行管理・評価の仕組みを以下のとおり整備します。</w:t>
      </w:r>
    </w:p>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 xml:space="preserve">10-1　推進体制</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町の体制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組織</w:t>
            </w:r>
          </w:p>
        </w:tc>
        <w:tc>
          <w:tcPr>
            <w:tcW w:type="pct" w:w="7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役割</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計画の総合的推進、進行管理、介護保険事業の運営</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移動支援（町民バス・デマンドバス）の所管との連携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総合相談、介護予防ケアマネジメント、地域ケア会議の運営</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町内医療拠点としての在宅医療・介護連携、認知症診療</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地域包括支援センター運営、福祉移送サービス、ユニバーサルサポーター制度</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地域見守り、ふれあいネットワーク活動、各種サポーター活動</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夜間救急・専門医療における広域連携</w:t>
            </w:r>
          </w:p>
        </w:tc>
      </w:tr>
    </w:tbl>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 xml:space="preserve">10-2　進行管理（PDCAサイクル）</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56%"/>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実施内容</w:t>
            </w:r>
          </w:p>
        </w:tc>
        <w:tc>
          <w:tcPr>
            <w:tcW w:type="pct" w:w="3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時期</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計画期間開始前</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計画期間中（通年）</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毎年度末</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次年度予算編成時</w:t>
            </w:r>
          </w:p>
        </w:tc>
      </w:tr>
    </w:tbl>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 xml:space="preserve">10-3　計画の評価と見直し</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評価の仕組み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中間評価：計画期間の中間年（R10年度）に、策定委員会または同等の組織で中間評価</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計画期間終了時評価：第10期計画終了時（R11年度）に、第11期計画策定の基礎資料として総括評価</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計画の見直し</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情報公開と住民参画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 xml:space="preserve">10-4　KPI管理表</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欄</w:t>
            </w:r>
          </w:p>
        </w:tc>
        <w:tc>
          <w:tcPr>
            <w:tcW w:type="dxa" w:w="15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第9期から継続か新規かを明示する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成果指標／活動指標／体制指標の別</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令和7年度又は令和8年度の値。出典を固定する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令和11年度の値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保健福祉課、地域包括支援センター、社会福祉協議会 等</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年1回（策定委員会前）、決算後 等</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記録様式を整備する年度を明記する</w:t>
            </w:r>
          </w:p>
        </w:tc>
      </w:tr>
    </w:tbl>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KPIの3階層</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階層</w:t>
            </w:r>
          </w:p>
        </w:tc>
        <w:tc>
          <w:tcPr>
            <w:tcW w:type="dxa" w:w="10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dxa" w:w="15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指標の例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調整済み認定率、通いの場への参加率、外出を控えている高齢者の割合</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地域ケア会議での個別事例の協議件数、介護予防事業の参加者数、認知症サポーター養成数</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計画値と実績値の乖離のモニタリングと公表、評価結果の計画への反映と公表、事業所ヒアリングの実施</w:t>
            </w:r>
          </w:p>
        </w:tc>
      </w:tr>
    </w:tbl>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dxa" w:w="4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dxa" w:w="11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dxa" w:w="8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dxa" w:w="12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保健福祉課／国保連・年1回</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現状値の【町確認】は第9期実績一覧のご記入（確認事項No.8・34）により確定します。集計担当・集計方法・頻度は町のご確認が必要です（確認事項No.70）。目標値は策定委員会での協議事項です。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pBdr>
        <w:spacing w:after="240" w:before="480" w:line="360"/>
        <w:jc w:val="center"/>
      </w:pPr>
      <w:r>
        <w:rPr>
          <w:rFonts w:ascii="游ゴシック" w:cs="游ゴシック" w:eastAsia="游ゴシック" w:hAnsi="游ゴシック"/>
          <w:b/>
          <w:bCs/>
          <w:i w:val="false"/>
          <w:iCs w:val="false"/>
          <w:color w:val="1F3864"/>
          <w:sz w:val="22"/>
          <w:szCs w:val="22"/>
        </w:rPr>
        <w:t xml:space="preserve">─ 本素案 Ver.1.12 結 ─</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jc w:val="center"/>
      </w:pPr>
      <w:r>
        <w:rPr>
          <w:rFonts w:ascii="游ゴシック" w:cs="游ゴシック" w:eastAsia="游ゴシック" w:hAnsi="游ゴシック"/>
          <w:b w:val="false"/>
          <w:bCs w:val="false"/>
          <w:i/>
          <w:iCs/>
          <w:color w:val="595959"/>
          <w:sz w:val="18"/>
          <w:szCs w:val="18"/>
        </w:rPr>
        <w:t xml:space="preserve">本素案Ver.1.12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