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医療的ケア児及びその家族に対する支援に関する法律の改正（令和8年法律第77号。令和8年7月31日公布・令和9年4月1日施行）。支援の対象に成年に達した医療的ケア児・18歳以上で医療的ケアがないと自立した生活が難しい方・重症心身障害者が加わり、法律の題名も改められる。医療的ケア児支援センターは医療的ケア児等支援センターへ改称され、住居の確保の措置（第11条の4）が新設され、医療的ケアの必要度を判定する基準を定期的に見直す規定が加わる。令和8年8月19日に示された基本指針の改正（こども家庭審議会障害児支援部会・社会保障審議会障害者部会）はこれを受けたものである</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短期入所）及び四（共同生活援助）。これらの利用者数のうち、強度行動障害の状態にある方、高次脳機能障害を有する方、医療的ケア者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見出し1点＋本文5段落＋注記1点</w:t>
            </w:r>
          </w:p>
        </w:tc>
        <w:tc>
          <w:tcPr>
            <w:tcW w:w="1400" w:type="dxa"/>
          </w:tcPr>
          <w:p>
            <w:pPr>
              <w:spacing w:after="0"/>
            </w:pPr>
            <w:r>
              <w:rPr>
                <w:rFonts w:ascii="BIZ UDPゴシック" w:hAnsi="BIZ UDPゴシック" w:eastAsia="BIZ UDPゴシック" w:cs="BIZ UDPゴシック"/>
                <w:b w:val="0"/>
                <w:sz w:val="19"/>
              </w:rPr>
              <w:t>約1.2頁</w:t>
            </w:r>
          </w:p>
        </w:tc>
        <w:tc>
          <w:tcPr>
            <w:tcW w:w="5800" w:type="dxa"/>
          </w:tcPr>
          <w:p>
            <w:pPr>
              <w:spacing w:after="0"/>
            </w:pPr>
            <w:r>
              <w:rPr>
                <w:rFonts w:ascii="BIZ UDPゴシック" w:hAnsi="BIZ UDPゴシック" w:eastAsia="BIZ UDPゴシック" w:cs="BIZ UDPゴシック"/>
                <w:b w:val="0"/>
                <w:sz w:val="19"/>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本人の意思、選好及び価値観</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相談支援専門員によるモニタリング及び施設の地域移行等意向確認担当者による聴取。地域での暮らしに関する情報提供と体験の機会を用意したうえで確かめる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相談支援専門員及び村による聴取。本人の意思とは別に記録する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医療的ケア児及びその家族に対する支援に関する法律の改正（令和8年法律第77号。令和8年7月31日公布・令和9年4月1日施行）。支援の対象に成年に達した医療的ケア児・18歳以上で医療的ケアがないと自立した生活が難しい方・重症心身障害者が加わり、法律の題名も改められる。医療的ケア児支援センターは医療的ケア児等支援センターへ改称され、住居の確保の措置（第11条の4）が新設され、医療的ケアの必要度を判定する基準を定期的に見直す規定が加わる。令和8年8月19日に示された基本指針の改正（こども家庭審議会障害児支援部会・社会保障審議会障害者部会）はこれを受けたもの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７月31日に公布された医療的ケア児及びその家族に対する支援に関する法律の改正（令和８年法律第77号）により、支援の対象に、医療的ケア児であった方で恒常的に医療的ケアを受けることが不可欠な方、恒常的に医療的ケアを受けることが不可欠であることにより自立した生活を営むことが難しい方、及び重症心身障害者が加わり、法律の題名も改められます。前の二つを合わせて「医療的ケア者」といいます。前者には自立した生活を営むことが難しいことが求められていないため、人数を数えるときに落とさないようにし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短期入所）及び四（共同生活援助）。これらの利用者数のうち、強度行動障害の状態にある方、高次脳機能障害を有する方、医療的ケア者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短期入所（福祉型・医療型）及び共同生活援助の利用者数のうち、強度行動障害の状態にある方、高次脳機能障害を有する方、医療的ケア者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spacing w:after="80"/>
        <w:ind w:firstLine="210"/>
      </w:pPr>
      <w:r>
        <w:rPr>
          <w:rFonts w:ascii="BIZ UDPゴシック" w:hAnsi="BIZ UDPゴシック" w:eastAsia="BIZ UDPゴシック" w:cs="BIZ UDPゴシック"/>
          <w:b w:val="0"/>
          <w:sz w:val="21"/>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spacing w:after="80"/>
        <w:ind w:firstLine="210"/>
      </w:pPr>
      <w:r>
        <w:rPr>
          <w:rFonts w:ascii="BIZ UDPゴシック" w:hAnsi="BIZ UDPゴシック" w:eastAsia="BIZ UDPゴシック" w:cs="BIZ UDPゴシック"/>
          <w:b w:val="0"/>
          <w:sz w:val="21"/>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spacing w:after="80"/>
        <w:ind w:firstLine="210"/>
      </w:pPr>
      <w:r>
        <w:rPr>
          <w:rFonts w:ascii="BIZ UDPゴシック" w:hAnsi="BIZ UDPゴシック" w:eastAsia="BIZ UDPゴシック" w:cs="BIZ UDPゴシック"/>
          <w:b w:val="0"/>
          <w:sz w:val="21"/>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spacing w:after="80"/>
        <w:ind w:firstLine="210"/>
      </w:pPr>
      <w:r>
        <w:rPr>
          <w:rFonts w:ascii="BIZ UDPゴシック" w:hAnsi="BIZ UDPゴシック" w:eastAsia="BIZ UDPゴシック" w:cs="BIZ UDPゴシック"/>
          <w:b w:val="0"/>
          <w:sz w:val="21"/>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spacing w:after="80"/>
        <w:ind w:firstLine="210"/>
      </w:pPr>
      <w:r>
        <w:rPr>
          <w:rFonts w:ascii="BIZ UDPゴシック" w:hAnsi="BIZ UDPゴシック" w:eastAsia="BIZ UDPゴシック" w:cs="BIZ UDPゴシック"/>
          <w:b w:val="0"/>
          <w:sz w:val="21"/>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施行は公布から2年6月を超えない範囲内で政令で定める日であり、本計画期間（令和9〜11年度）中に施行されるため、「施行される可能性がある」ではなく「本計画期間中に施行される」と書く</w:t>
      </w:r>
    </w:p>
    <w:p>
      <w:pPr>
        <w:spacing w:before="160" w:after="40"/>
      </w:pPr>
      <w:r>
        <w:rPr>
          <w:rFonts w:ascii="BIZ UDPゴシック" w:hAnsi="BIZ UDPゴシック" w:eastAsia="BIZ UDPゴシック" w:cs="BIZ UDPゴシック"/>
          <w:b/>
          <w:color w:val="2E75B6"/>
          <w:sz w:val="22"/>
        </w:rPr>
        <w:t xml:space="preserve">　入れるもの（見出し1点＋本文5段落＋注記1点／約1.2頁）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spacing w:after="80"/>
        <w:ind w:firstLine="210"/>
      </w:pPr>
      <w:r>
        <w:rPr>
          <w:rFonts w:ascii="BIZ UDPゴシック" w:hAnsi="BIZ UDPゴシック" w:eastAsia="BIZ UDPゴシック" w:cs="BIZ UDPゴシック"/>
          <w:b w:val="0"/>
          <w:sz w:val="21"/>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spacing w:after="80"/>
        <w:ind w:firstLine="210"/>
      </w:pPr>
      <w:r>
        <w:rPr>
          <w:rFonts w:ascii="BIZ UDPゴシック" w:hAnsi="BIZ UDPゴシック" w:eastAsia="BIZ UDPゴシック" w:cs="BIZ UDPゴシック"/>
          <w:b w:val="0"/>
          <w:sz w:val="21"/>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spacing w:after="80"/>
        <w:ind w:firstLine="210"/>
      </w:pPr>
      <w:r>
        <w:rPr>
          <w:rFonts w:ascii="BIZ UDPゴシック" w:hAnsi="BIZ UDPゴシック" w:eastAsia="BIZ UDPゴシック" w:cs="BIZ UDPゴシック"/>
          <w:b w:val="0"/>
          <w:sz w:val="21"/>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spacing w:after="80"/>
        <w:ind w:firstLine="210"/>
      </w:pPr>
      <w:r>
        <w:rPr>
          <w:rFonts w:ascii="BIZ UDPゴシック" w:hAnsi="BIZ UDPゴシック" w:eastAsia="BIZ UDPゴシック" w:cs="BIZ UDPゴシック"/>
          <w:b w:val="0"/>
          <w:sz w:val="21"/>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spacing w:after="80"/>
        <w:ind w:firstLine="210"/>
      </w:pPr>
      <w:r>
        <w:rPr>
          <w:rFonts w:ascii="BIZ UDPゴシック" w:hAnsi="BIZ UDPゴシック" w:eastAsia="BIZ UDPゴシック" w:cs="BIZ UDPゴシック"/>
          <w:b w:val="0"/>
          <w:sz w:val="21"/>
        </w:rPr>
        <w:t>国の基本指針は、障がい児通所支援及び障がい児相談支援の見込量について、勘案する事項を定めています。地域における児童の数の推移、現に利用している障がい児の数、障がい児等のニーズ、医療的ケア児及び重症心身障害児等のニーズ、保育所や認定こども園、幼稚園等での障がい児の受入状況、入所施設から退所した後に利用が見込まれる障がい児の数、及び平均的な一人当たり利用量です。このうち、医療的ケア児及び重症心身障害児等のニーズは、児童発達支援、放課後等デイサービス、保育所等訪問支援、居宅訪問型児童発達支援、障がい児入所施設及び障がい児相談支援のいずれについても勘案することとされています。本村には医療的ケアを必要とする児が１人おり、重症心身障害の状態にある児者の人数は把握できていません（表５-９）。このため、本計画期間においては、この２つのニーズの把握を見込量の見直しの前提として行い、把握できた段階で見込量に反映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本人の意思、選好及び価値観</w:t>
            </w:r>
          </w:p>
        </w:tc>
        <w:tc>
          <w:tcPr>
            <w:tcW w:w="11000" w:type="dxa"/>
          </w:tcPr>
          <w:p>
            <w:pPr>
              <w:spacing w:after="0"/>
            </w:pPr>
            <w:r>
              <w:rPr>
                <w:rFonts w:ascii="BIZ UDPゴシック" w:hAnsi="BIZ UDPゴシック" w:eastAsia="BIZ UDPゴシック" w:cs="BIZ UDPゴシック"/>
                <w:b w:val="0"/>
                <w:sz w:val="19"/>
              </w:rPr>
              <w:t>どのような暮らし、日中の活動、働き方を望むか。本人が何を大切にしているか。意思決定支援ガイドライン（第２版）により、家族の意向とは分けて確かめ、別に記録する</w:t>
            </w:r>
          </w:p>
        </w:tc>
      </w:tr>
      <w:tr>
        <w:tc>
          <w:tcPr>
            <w:tcW w:w="4200" w:type="dxa"/>
          </w:tcPr>
          <w:p>
            <w:pPr>
              <w:spacing w:after="0"/>
            </w:pPr>
            <w:r>
              <w:rPr>
                <w:rFonts w:ascii="BIZ UDPゴシック" w:hAnsi="BIZ UDPゴシック" w:eastAsia="BIZ UDPゴシック" w:cs="BIZ UDPゴシック"/>
                <w:b w:val="0"/>
                <w:sz w:val="19"/>
              </w:rPr>
              <w:t>本人が体験したこと</w:t>
            </w:r>
          </w:p>
        </w:tc>
        <w:tc>
          <w:tcPr>
            <w:tcW w:w="11000" w:type="dxa"/>
          </w:tcPr>
          <w:p>
            <w:pPr>
              <w:spacing w:after="0"/>
            </w:pPr>
            <w:r>
              <w:rPr>
                <w:rFonts w:ascii="BIZ UDPゴシック" w:hAnsi="BIZ UDPゴシック" w:eastAsia="BIZ UDPゴシック" w:cs="BIZ UDPゴシック"/>
                <w:b w:val="0"/>
                <w:sz w:val="19"/>
              </w:rPr>
              <w:t>就労継続支援、生活介護、共同生活援助等の体験の有無。体験がなければ進路の希望そのものを形づくることが難しいため、意思を形づくる支援として体験の機会を用意する</w:t>
            </w:r>
          </w:p>
        </w:tc>
      </w:tr>
      <w:tr>
        <w:tc>
          <w:tcPr>
            <w:tcW w:w="4200" w:type="dxa"/>
          </w:tcPr>
          <w:p>
            <w:pPr>
              <w:spacing w:after="0"/>
            </w:pPr>
            <w:r>
              <w:rPr>
                <w:rFonts w:ascii="BIZ UDPゴシック" w:hAnsi="BIZ UDPゴシック" w:eastAsia="BIZ UDPゴシック" w:cs="BIZ UDPゴシック"/>
                <w:b w:val="0"/>
                <w:sz w:val="19"/>
              </w:rPr>
              <w:t>家族の意向</w:t>
            </w:r>
          </w:p>
        </w:tc>
        <w:tc>
          <w:tcPr>
            <w:tcW w:w="11000" w:type="dxa"/>
          </w:tcPr>
          <w:p>
            <w:pPr>
              <w:spacing w:after="0"/>
            </w:pPr>
            <w:r>
              <w:rPr>
                <w:rFonts w:ascii="BIZ UDPゴシック" w:hAnsi="BIZ UDPゴシック" w:eastAsia="BIZ UDPゴシック" w:cs="BIZ UDPゴシック"/>
                <w:b w:val="0"/>
                <w:sz w:val="19"/>
              </w:rPr>
              <w:t>本人の意思とは別の情報として記録する。本人の意思の実現に必要となる支援や課題を整理するために用いる</w:t>
            </w:r>
          </w:p>
        </w:tc>
      </w:tr>
      <w:tr>
        <w:tc>
          <w:tcPr>
            <w:tcW w:w="4200" w:type="dxa"/>
          </w:tcPr>
          <w:p>
            <w:pPr>
              <w:spacing w:after="0"/>
            </w:pPr>
            <w:r>
              <w:rPr>
                <w:rFonts w:ascii="BIZ UDPゴシック" w:hAnsi="BIZ UDPゴシック" w:eastAsia="BIZ UDPゴシック" w:cs="BIZ UDPゴシック"/>
                <w:b w:val="0"/>
                <w:sz w:val="19"/>
              </w:rPr>
              <w:t>進路の見込み</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Ｓ-4）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Ｍ-27）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Ｍ-34）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Ｍ-35）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Ｍ-36）。移植の申し送り７（災害時にサービスを止めないための備え）とは別の論点（避難そのものへの備え）である点に注意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Ｍ-37）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Ｍ-38）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Ｍ-39）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・移植10（基盤整備量）は定めなければならない事項です。県の算定値（Ｓ-6）が届くまで表は空欄になりますが、枠と考え方だけでも先に入れてください。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