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表３-３　本計画で新たに加える施策</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強度行動障害を有する方等の重度障がい者の内数の見込み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表７-５　第８次福島県医療計画との連携</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r>
        <w:tc>
          <w:tcPr>
            <w:tcW w:w="1858" w:type="dxa"/>
            <w:shd w:val="clear" w:color="auto" w:fill="EAF4EE"/>
          </w:tcPr>
          <w:p>
            <w:pPr>
              <w:spacing w:after="0"/>
            </w:pPr>
            <w:r>
              <w:rPr>
                <w:sz w:val="19"/>
              </w:rPr>
              <w:t xml:space="preserve">第８次福島県医療計画</w:t>
            </w:r>
          </w:p>
        </w:tc>
        <w:tc>
          <w:tcPr>
            <w:tcW w:w="4334" w:type="dxa"/>
          </w:tcPr>
          <w:p>
            <w:pPr>
              <w:spacing w:after="0"/>
            </w:pPr>
            <w:r>
              <w:rPr>
                <w:sz w:val="19"/>
              </w:rPr>
              <w:t xml:space="preserve">令和６年度～令和11年度（６年間）</w:t>
            </w:r>
          </w:p>
        </w:tc>
        <w:tc>
          <w:tcPr>
            <w:tcW w:w="3220" w:type="dxa"/>
          </w:tcPr>
          <w:p>
            <w:pPr>
              <w:spacing w:after="0"/>
            </w:pPr>
            <w:r>
              <w:rPr>
                <w:sz w:val="19"/>
              </w:rPr>
              <w:t xml:space="preserve">医療法第30条の４第１項の医療計画。国の基本指針 第三の一の７は障害福祉計画等を医療計画と調和が保たれたものとすることが必要であるとし、同 第二の二は精神障害にも対応した地域包括ケアシステムの構築の目標について特に医療計画との関係に留意することとしている。計画期間の終期が本計画と同じであり、本計画期間は同計画の後半３年に収まる（第７章５）</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ind w:firstLine="220"/>
      </w:pPr>
      <w:r>
        <w:rPr>
          <w:b w:val="0"/>
        </w:rPr>
        <w:t>なお、医療の分野で県が定める区域は、これらとは別の単位です。第８次福島県医療計画は、本村を会津・南会津医療圏（会津若松市、喜多方市、本村、西会津町、磐梯町、猪苗代町、会津坂下町、湯川村、柳津町、三島町、金山町、昭和村、会津美里町、下郷町、檜枝岐村、只見町、南会津町の17市町村）に置いています。所管する保健所は福島県会津保健所及び福島県南会津保健所の２カ所です。会津障がい保健福祉圏域の13市町村に南会津の４町村（下郷町、檜枝岐村、只見町、南会津町）を加えた範囲が医療圏に当たります。医療との連携を図る場面では、この17市町村が単位となります。</w:t>
      </w:r>
    </w:p>
    <w:p>
      <w:pPr>
        <w:spacing w:after="0"/>
      </w:pP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pStyle w:val="ac"/>
      </w:pPr>
      <w:r>
        <w:t>（４）本計画で新たに加える施策</w:t>
      </w:r>
    </w:p>
    <w:p>
      <w:pPr>
        <w:ind w:firstLine="220"/>
      </w:pPr>
      <w:r>
        <w:rPr>
          <w:b w:val="0"/>
        </w:rPr>
        <w:t>本計画は、第７期計画・第３期計画を引き継ぐものですが、これまでの計画に書いていなかった施策を新たに加えます。加える理由は三つあります。第一に、国の基本指針の見直し（（２））により、成果目標と見込量の立て方そのものが変わったことです。第二に、関連する制度の動き（（３））により、本計画の期間中に新しい仕組みが動き出すことです。第三に、アンケート調査で把握した本村固有の課題（第２章７）に、これまでの計画では応えきれていなかったことです。</w:t>
      </w:r>
    </w:p>
    <w:p>
      <w:pPr>
        <w:ind w:firstLine="220"/>
      </w:pPr>
      <w:r>
        <w:rPr>
          <w:b w:val="0"/>
        </w:rPr>
        <w:t>新たに加える施策は、第３章４に一覧として掲げます（表３-３）。第４次北塩原村障がい者計画の基本施策のどれに対応するかを併せて示しており、同章の中間見直し（基本施策ごとの目標値）と一続きで読めるようにしています。</w:t>
      </w:r>
    </w:p>
    <w:p>
      <w:pPr>
        <w:ind w:firstLine="220"/>
      </w:pPr>
      <w:r>
        <w:rPr>
          <w:b w:val="0"/>
        </w:rPr>
        <w:t>このうち本村にとって特に重いものを挙げます。①冬季の移動と地域生活の継続（除雪、通院・通所の確保。第５章２（14））②災害時にサービスを止めないための備え（避難行動要支援者名簿、個別避難計画、医療的ケアに必要な電源の確保。第５章２（11））③相談支援の体制（基幹相談支援センターの広域での設置、のぞまないセルフプランの解消。第４章２（６））④障がいのある児童とその家族への支援（医療的ケア児等への支援、家族の休息。第４章２（４））⑤18歳・22歳・65歳の到達時の引継ぎ（第５章５）です。いずれも、本村のように人口が少なく、事業所の数が限られ、冬季に移動の制約がある地域では、制度があることと実際に使えることとの間に隔たりが生じやすい事柄です。</w:t>
      </w:r>
    </w:p>
    <w:p>
      <w:pPr>
        <w:spacing w:after="0"/>
      </w:pP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本計画案を、令和９年１月26日～令和９年２月９日まで（15日間）村ホームページ等で公開し、広く村民の方々から意見を募りました。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議会全員協議会において、決定した計画の内容と令和９年度の主要事業について説明しました。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専門的な支援を要する方への対応</w:t>
            </w:r>
          </w:p>
        </w:tc>
        <w:tc>
          <w:tcPr>
            <w:tcW w:w="3912" w:type="dxa"/>
            <w:tcMar>
              <w:top w:w="50" w:type="dxa"/>
              <w:left w:w="90" w:type="dxa"/>
              <w:bottom w:w="50" w:type="dxa"/>
              <w:right w:w="90" w:type="dxa"/>
            </w:tcMar>
            <w:vAlign w:val="center"/>
          </w:tcPr>
          <w:p>
            <w:pPr>
              <w:spacing w:after="0" w:line="280" w:lineRule="auto"/>
            </w:pPr>
            <w:r>
              <w:rPr>
                <w:sz w:val="19"/>
                <w:szCs w:val="19"/>
              </w:rPr>
              <w:t xml:space="preserve">定期的に通院している方が71.1％、通院や医療で困っていることがある方があり、医療的ケア・強度行動障がい・高次脳機能障がいについて必要な支援を尋ねる設問を今回新たに置いた（問17から問20）</w:t>
            </w:r>
          </w:p>
        </w:tc>
        <w:tc>
          <w:tcPr>
            <w:tcW w:w="3400" w:type="dxa"/>
            <w:tcMar>
              <w:top w:w="50" w:type="dxa"/>
              <w:left w:w="90" w:type="dxa"/>
              <w:bottom w:w="50" w:type="dxa"/>
              <w:right w:w="90" w:type="dxa"/>
            </w:tcMar>
            <w:vAlign w:val="center"/>
          </w:tcPr>
          <w:p>
            <w:pPr>
              <w:spacing w:after="0" w:line="280" w:lineRule="auto"/>
            </w:pPr>
            <w:r>
              <w:rPr>
                <w:sz w:val="19"/>
                <w:szCs w:val="19"/>
              </w:rPr>
              <w:t xml:space="preserve">精神障害にも対応した地域包括ケアシステムの構築（第４章２（２））、強度行動障害の状態にある方・医療的ケアを必要とする方への支援（第４章２（４）（５）、第５章１（２））</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t>第３章　第４次北塩原村障がい者計画の推進状況と本計画で新たに加える施策</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p>
      <w:pPr>
        <w:ind w:firstLine="220"/>
      </w:pPr>
      <w:r>
        <w:rPr>
          <w:b w:val="0"/>
        </w:rPr>
        <w:t>訓練は、顔の見える関係をつくる場としても用います。個別避難計画は、本人、家族、避難を支援する方、及び相談支援専門員が互いを知らないままでは実際には動きません。本計画期間においては、災害の種類を想定した図上訓練と、実際に避難の経路を歩く避難訓練を、計画を作る過程に組み込みます。図上訓練では、本人と支援する方が同じ地図を見ながら経路と所要の時間を確かめ、避難訓練では、冬季の積雪時を含めて実際に動けるかを確かめます。訓練の場は、互いの事情を知り合う機会にもなるため、障がいのある方と地域の方が同じ場に加わる形で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pStyle w:val="2"/>
      </w:pPr>
      <w:r>
        <w:t>４　本計画で新たに加える施策</w:t>
      </w:r>
    </w:p>
    <w:p>
      <w:pPr>
        <w:ind w:firstLine="220"/>
      </w:pPr>
      <w:r>
        <w:rPr>
          <w:b w:val="0"/>
        </w:rPr>
        <w:t>ここまでは、第４次北塩原村障がい者計画の推進状況（基本施策ごとの目標値の達成状況と、本計画期間の主な取組み）を示しました。本節では、これに加えて本計画で新たに書く施策を一覧にします。国の基本指針の見直し（第１章４）、本計画の期間中に動き出す制度、及びアンケート調査で把握した課題（第２章７）に応えるものです。</w:t>
      </w:r>
    </w:p>
    <w:p>
      <w:pPr>
        <w:ind w:firstLine="220"/>
      </w:pPr>
      <w:r>
        <w:rPr>
          <w:b w:val="0"/>
        </w:rPr>
        <w:t>それぞれの施策について、本計画のどこに書いているかと、第４次北塩原村障がい者計画の基本施策のどれに対応するかを示します。対応する基本施策の目標値は本章３に掲げており、新たに加える施策はその目標値を達成するための手立てでもあります。</w:t>
      </w:r>
    </w:p>
    <w:p>
      <w:pPr>
        <w:spacing w:before="80" w:after="20"/>
      </w:pPr>
      <w:r>
        <w:rPr>
          <w:b/>
          <w:sz w:val="20"/>
        </w:rPr>
        <w:t>表３-３　本計画で新たに加える施策</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新たに加える施策</w:t>
            </w:r>
          </w:p>
        </w:tc>
        <w:tc>
          <w:tcPr>
            <w:tcW w:w="5078" w:type="dxa"/>
            <w:shd w:val="clear" w:color="auto" w:fill="2D7A57"/>
          </w:tcPr>
          <w:p>
            <w:pPr>
              <w:spacing w:after="0"/>
              <w:jc w:val="center"/>
            </w:pPr>
            <w:r>
              <w:rPr>
                <w:b/>
                <w:color w:val="FFFFFF"/>
                <w:sz w:val="19"/>
              </w:rPr>
              <w:t>主な内容</w:t>
            </w:r>
          </w:p>
        </w:tc>
        <w:tc>
          <w:tcPr>
            <w:tcW w:w="2476" w:type="dxa"/>
            <w:shd w:val="clear" w:color="auto" w:fill="2D7A57"/>
          </w:tcPr>
          <w:p>
            <w:pPr>
              <w:spacing w:after="0"/>
              <w:jc w:val="center"/>
            </w:pPr>
            <w:r>
              <w:rPr>
                <w:b/>
                <w:color w:val="FFFFFF"/>
                <w:sz w:val="19"/>
              </w:rPr>
              <w:t>本計画での位置と対応する基本施策</w:t>
            </w:r>
          </w:p>
        </w:tc>
      </w:tr>
      <w:tr>
        <w:tc>
          <w:tcPr>
            <w:tcW w:w="1858" w:type="dxa"/>
            <w:shd w:val="clear" w:color="auto" w:fill="EAF4EE"/>
          </w:tcPr>
          <w:p>
            <w:pPr>
              <w:spacing w:after="0"/>
            </w:pPr>
            <w:r>
              <w:rPr>
                <w:sz w:val="19"/>
              </w:rPr>
              <w:t>意思疎通支援の担い手の確保</w:t>
            </w:r>
          </w:p>
        </w:tc>
        <w:tc>
          <w:tcPr>
            <w:tcW w:w="5078" w:type="dxa"/>
          </w:tcPr>
          <w:p>
            <w:pPr>
              <w:spacing w:after="0"/>
            </w:pPr>
            <w:r>
              <w:rPr>
                <w:sz w:val="19"/>
              </w:rPr>
              <w:t>手話に関する施策の推進に関する法律の施行を踏まえ、手話通訳者及び要約筆記者の確保と派遣の体制を書きます。村の広報と窓口での情報提供の方法も併せて見直します。</w:t>
            </w:r>
          </w:p>
        </w:tc>
        <w:tc>
          <w:tcPr>
            <w:tcW w:w="2476" w:type="dxa"/>
          </w:tcPr>
          <w:p>
            <w:pPr>
              <w:spacing w:after="0"/>
            </w:pPr>
            <w:r>
              <w:rPr>
                <w:sz w:val="19"/>
              </w:rPr>
              <w:t>第５章２（１）、第５章３（２）／①啓発・広報</w:t>
            </w:r>
          </w:p>
        </w:tc>
      </w:tr>
      <w:tr>
        <w:tc>
          <w:tcPr>
            <w:tcW w:w="1858" w:type="dxa"/>
            <w:shd w:val="clear" w:color="auto" w:fill="EAF4EE"/>
          </w:tcPr>
          <w:p>
            <w:pPr>
              <w:spacing w:after="0"/>
            </w:pPr>
            <w:r>
              <w:rPr>
                <w:sz w:val="19"/>
              </w:rPr>
              <w:t>高次脳機能障がいのある方への支援</w:t>
            </w:r>
          </w:p>
        </w:tc>
        <w:tc>
          <w:tcPr>
            <w:tcW w:w="5078" w:type="dxa"/>
          </w:tcPr>
          <w:p>
            <w:pPr>
              <w:spacing w:after="0"/>
            </w:pPr>
            <w:r>
              <w:rPr>
                <w:sz w:val="19"/>
              </w:rPr>
              <w:t>高次脳機能障害者支援法（令和７年12月24日公布、令和８年４月１日施行）を踏まえ、相談できる窓口を明らかにし、県の支援拠点へつなぐ道筋を書きます。</w:t>
            </w:r>
          </w:p>
        </w:tc>
        <w:tc>
          <w:tcPr>
            <w:tcW w:w="2476" w:type="dxa"/>
          </w:tcPr>
          <w:p>
            <w:pPr>
              <w:spacing w:after="0"/>
            </w:pPr>
            <w:r>
              <w:rPr>
                <w:sz w:val="19"/>
              </w:rPr>
              <w:t>第５章２（２）／②保健・医療</w:t>
            </w:r>
          </w:p>
        </w:tc>
      </w:tr>
      <w:tr>
        <w:tc>
          <w:tcPr>
            <w:tcW w:w="1858" w:type="dxa"/>
            <w:shd w:val="clear" w:color="auto" w:fill="EAF4EE"/>
          </w:tcPr>
          <w:p>
            <w:pPr>
              <w:spacing w:after="0"/>
            </w:pPr>
            <w:r>
              <w:rPr>
                <w:sz w:val="19"/>
              </w:rPr>
              <w:t>医療的ケア児等への支援</w:t>
            </w:r>
          </w:p>
        </w:tc>
        <w:tc>
          <w:tcPr>
            <w:tcW w:w="5078" w:type="dxa"/>
          </w:tcPr>
          <w:p>
            <w:pPr>
              <w:spacing w:after="0"/>
            </w:pPr>
            <w:r>
              <w:rPr>
                <w:sz w:val="19"/>
              </w:rPr>
              <w:t>国の基本指針の改正により、医療的ケア者（成人）と重症心身障害児者が支援の対象に加わりました。協議の場を４町村で共同設置し、医療的ケア児等コーディネーターを配置します。18歳到達前からの引継ぎ、家族の休息（レスパイト）、災害時の電源の確保までを一続きのものとして扱います。県が設置する医療的ケア児等支援地域協議会への参画と、同協議会に参画する医療的ケア児等支援センターの協力を得て個別避難計画を作ることも併せて進めます。</w:t>
            </w:r>
          </w:p>
        </w:tc>
        <w:tc>
          <w:tcPr>
            <w:tcW w:w="2476" w:type="dxa"/>
          </w:tcPr>
          <w:p>
            <w:pPr>
              <w:spacing w:after="0"/>
            </w:pPr>
            <w:r>
              <w:rPr>
                <w:sz w:val="19"/>
              </w:rPr>
              <w:t>第４章２（４）、第５章２（11）、第５章５／④教育・育成</w:t>
            </w:r>
          </w:p>
        </w:tc>
      </w:tr>
      <w:tr>
        <w:tc>
          <w:tcPr>
            <w:tcW w:w="1858" w:type="dxa"/>
            <w:shd w:val="clear" w:color="auto" w:fill="EAF4EE"/>
          </w:tcPr>
          <w:p>
            <w:pPr>
              <w:spacing w:after="0"/>
            </w:pPr>
            <w:r>
              <w:rPr>
                <w:sz w:val="19"/>
              </w:rPr>
              <w:t>就労選択支援の利用の促進</w:t>
            </w:r>
          </w:p>
        </w:tc>
        <w:tc>
          <w:tcPr>
            <w:tcW w:w="5078" w:type="dxa"/>
          </w:tcPr>
          <w:p>
            <w:pPr>
              <w:spacing w:after="0"/>
            </w:pPr>
            <w:r>
              <w:rPr>
                <w:sz w:val="19"/>
              </w:rPr>
              <w:t>令和９年４月から、就労継続支援Ａ型の新規の利用時等に原則として就労選択支援を利用することとされました。村は利用の勧奨と、圏域内で利用できる事業所の確保を進めます。あわせて、就労支援事業所が少ない本村の状況を踏まえ、公共職業安定所（ハローワーク）を介した地元企業での就労を進めます。</w:t>
            </w:r>
          </w:p>
        </w:tc>
        <w:tc>
          <w:tcPr>
            <w:tcW w:w="2476" w:type="dxa"/>
          </w:tcPr>
          <w:p>
            <w:pPr>
              <w:spacing w:after="0"/>
            </w:pPr>
            <w:r>
              <w:rPr>
                <w:sz w:val="19"/>
              </w:rPr>
              <w:t>第４章２（３）、第５章１（２）／⑤雇用・就業</w:t>
            </w:r>
          </w:p>
        </w:tc>
      </w:tr>
      <w:tr>
        <w:tc>
          <w:tcPr>
            <w:tcW w:w="1858" w:type="dxa"/>
            <w:shd w:val="clear" w:color="auto" w:fill="EAF4EE"/>
          </w:tcPr>
          <w:p>
            <w:pPr>
              <w:spacing w:after="0"/>
            </w:pPr>
            <w:r>
              <w:rPr>
                <w:sz w:val="19"/>
              </w:rPr>
              <w:t>基幹相談支援センターの広域での設置</w:t>
            </w:r>
          </w:p>
        </w:tc>
        <w:tc>
          <w:tcPr>
            <w:tcW w:w="5078" w:type="dxa"/>
          </w:tcPr>
          <w:p>
            <w:pPr>
              <w:spacing w:after="0"/>
            </w:pPr>
            <w:r>
              <w:rPr>
                <w:sz w:val="19"/>
              </w:rPr>
              <w:t>本村単独では設置が難しいため、４町村広域の障がい者自立支援協議会において共同設置を協議します。</w:t>
            </w:r>
          </w:p>
        </w:tc>
        <w:tc>
          <w:tcPr>
            <w:tcW w:w="2476" w:type="dxa"/>
          </w:tcPr>
          <w:p>
            <w:pPr>
              <w:spacing w:after="0"/>
            </w:pPr>
            <w:r>
              <w:rPr>
                <w:sz w:val="19"/>
              </w:rPr>
              <w:t>第４章２（６）、第５章１（４）、第５章２（４）／③福祉</w:t>
            </w:r>
          </w:p>
        </w:tc>
      </w:tr>
      <w:tr>
        <w:tc>
          <w:tcPr>
            <w:tcW w:w="1858" w:type="dxa"/>
            <w:shd w:val="clear" w:color="auto" w:fill="EAF4EE"/>
          </w:tcPr>
          <w:p>
            <w:pPr>
              <w:spacing w:after="0"/>
            </w:pPr>
            <w:r>
              <w:rPr>
                <w:sz w:val="19"/>
              </w:rPr>
              <w:t>のぞまないセルフプランの解消</w:t>
            </w:r>
          </w:p>
        </w:tc>
        <w:tc>
          <w:tcPr>
            <w:tcW w:w="5078" w:type="dxa"/>
          </w:tcPr>
          <w:p>
            <w:pPr>
              <w:spacing w:after="0"/>
            </w:pPr>
            <w:r>
              <w:rPr>
                <w:sz w:val="19"/>
              </w:rPr>
              <w:t>セルフプランの件数とその理由を把握し、希望する方を計画相談支援につなぎます。モニタリングの期間は国の標準によらず一人ごとに定めます。</w:t>
            </w:r>
          </w:p>
        </w:tc>
        <w:tc>
          <w:tcPr>
            <w:tcW w:w="2476" w:type="dxa"/>
          </w:tcPr>
          <w:p>
            <w:pPr>
              <w:spacing w:after="0"/>
            </w:pPr>
            <w:r>
              <w:rPr>
                <w:sz w:val="19"/>
              </w:rPr>
              <w:t>第４章２（６）、第５章１（４）／③福祉</w:t>
            </w:r>
          </w:p>
        </w:tc>
      </w:tr>
      <w:tr>
        <w:tc>
          <w:tcPr>
            <w:tcW w:w="1858" w:type="dxa"/>
            <w:shd w:val="clear" w:color="auto" w:fill="EAF4EE"/>
          </w:tcPr>
          <w:p>
            <w:pPr>
              <w:spacing w:after="0"/>
            </w:pPr>
            <w:r>
              <w:rPr>
                <w:sz w:val="19"/>
              </w:rPr>
              <w:t>障害福祉人材の確保・定着と生産性の向上</w:t>
            </w:r>
          </w:p>
        </w:tc>
        <w:tc>
          <w:tcPr>
            <w:tcW w:w="5078" w:type="dxa"/>
          </w:tcPr>
          <w:p>
            <w:pPr>
              <w:spacing w:after="0"/>
            </w:pPr>
            <w:r>
              <w:rPr>
                <w:sz w:val="19"/>
              </w:rPr>
              <w:t>第８期計画で新設された成果目標です。介護テクノロジーの導入、意思決定支援の研修、及び事業所の経営基盤の把握を進めます。</w:t>
            </w:r>
          </w:p>
        </w:tc>
        <w:tc>
          <w:tcPr>
            <w:tcW w:w="2476" w:type="dxa"/>
          </w:tcPr>
          <w:p>
            <w:pPr>
              <w:spacing w:after="0"/>
            </w:pPr>
            <w:r>
              <w:rPr>
                <w:sz w:val="19"/>
              </w:rPr>
              <w:t>第４章２（７）、第５章２（６）、第５章２（13）／③福祉</w:t>
            </w:r>
          </w:p>
        </w:tc>
      </w:tr>
      <w:tr>
        <w:tc>
          <w:tcPr>
            <w:tcW w:w="1858" w:type="dxa"/>
            <w:shd w:val="clear" w:color="auto" w:fill="EAF4EE"/>
          </w:tcPr>
          <w:p>
            <w:pPr>
              <w:spacing w:after="0"/>
            </w:pPr>
            <w:r>
              <w:rPr>
                <w:sz w:val="19"/>
              </w:rPr>
              <w:t>障がい福祉サービス等情報公表制度への対応</w:t>
            </w:r>
          </w:p>
        </w:tc>
        <w:tc>
          <w:tcPr>
            <w:tcW w:w="5078" w:type="dxa"/>
          </w:tcPr>
          <w:p>
            <w:pPr>
              <w:spacing w:after="0"/>
            </w:pPr>
            <w:r>
              <w:rPr>
                <w:sz w:val="19"/>
              </w:rPr>
              <w:t>公表率に係る成果目標が新設されました。村は事業所の公表の状況を把握し、公表していない事業所に働きかけます。</w:t>
            </w:r>
          </w:p>
        </w:tc>
        <w:tc>
          <w:tcPr>
            <w:tcW w:w="2476" w:type="dxa"/>
          </w:tcPr>
          <w:p>
            <w:pPr>
              <w:spacing w:after="0"/>
            </w:pPr>
            <w:r>
              <w:rPr>
                <w:sz w:val="19"/>
              </w:rPr>
              <w:t>第４章２（８）、第５章２（７）／③福祉</w:t>
            </w:r>
          </w:p>
        </w:tc>
      </w:tr>
      <w:tr>
        <w:tc>
          <w:tcPr>
            <w:tcW w:w="1858" w:type="dxa"/>
            <w:shd w:val="clear" w:color="auto" w:fill="EAF4EE"/>
          </w:tcPr>
          <w:p>
            <w:pPr>
              <w:spacing w:after="0"/>
            </w:pPr>
            <w:r>
              <w:rPr>
                <w:sz w:val="19"/>
              </w:rPr>
              <w:t>人口減少地域における制度の活用と県への意見申出</w:t>
            </w:r>
          </w:p>
        </w:tc>
        <w:tc>
          <w:tcPr>
            <w:tcW w:w="5078" w:type="dxa"/>
          </w:tcPr>
          <w:p>
            <w:pPr>
              <w:spacing w:after="0"/>
            </w:pPr>
            <w:r>
              <w:rPr>
                <w:sz w:val="19"/>
              </w:rPr>
              <w:t>特定地域居宅サービス等事業など、人口の少ない地域で用いることができる制度を活用します。圏域内で供給が不足する場合は、県へ意見を申し出ます。</w:t>
            </w:r>
          </w:p>
        </w:tc>
        <w:tc>
          <w:tcPr>
            <w:tcW w:w="2476" w:type="dxa"/>
          </w:tcPr>
          <w:p>
            <w:pPr>
              <w:spacing w:after="0"/>
            </w:pPr>
            <w:r>
              <w:rPr>
                <w:sz w:val="19"/>
              </w:rPr>
              <w:t>第５章２（９）、第５章２（10）／③福祉</w:t>
            </w:r>
          </w:p>
        </w:tc>
      </w:tr>
      <w:tr>
        <w:tc>
          <w:tcPr>
            <w:tcW w:w="1858" w:type="dxa"/>
            <w:shd w:val="clear" w:color="auto" w:fill="EAF4EE"/>
          </w:tcPr>
          <w:p>
            <w:pPr>
              <w:spacing w:after="0"/>
            </w:pPr>
            <w:r>
              <w:rPr>
                <w:sz w:val="19"/>
              </w:rPr>
              <w:t>住まいの確保</w:t>
            </w:r>
          </w:p>
        </w:tc>
        <w:tc>
          <w:tcPr>
            <w:tcW w:w="5078" w:type="dxa"/>
          </w:tcPr>
          <w:p>
            <w:pPr>
              <w:spacing w:after="0"/>
            </w:pPr>
            <w:r>
              <w:rPr>
                <w:sz w:val="19"/>
              </w:rPr>
              <w:t>住宅セーフティネット制度との連携を書きます。居住支援法人・居住支援協議会、村営住宅の担当部局との連携の仕方を示します。</w:t>
            </w:r>
          </w:p>
        </w:tc>
        <w:tc>
          <w:tcPr>
            <w:tcW w:w="2476" w:type="dxa"/>
          </w:tcPr>
          <w:p>
            <w:pPr>
              <w:spacing w:after="0"/>
            </w:pPr>
            <w:r>
              <w:rPr>
                <w:sz w:val="19"/>
              </w:rPr>
              <w:t>第５章２（８）／⑥生活環境</w:t>
            </w:r>
          </w:p>
        </w:tc>
      </w:tr>
      <w:tr>
        <w:tc>
          <w:tcPr>
            <w:tcW w:w="1858" w:type="dxa"/>
            <w:shd w:val="clear" w:color="auto" w:fill="EAF4EE"/>
          </w:tcPr>
          <w:p>
            <w:pPr>
              <w:spacing w:after="0"/>
            </w:pPr>
            <w:r>
              <w:rPr>
                <w:sz w:val="19"/>
              </w:rPr>
              <w:t>災害時にサービスを止めないための備え</w:t>
            </w:r>
          </w:p>
        </w:tc>
        <w:tc>
          <w:tcPr>
            <w:tcW w:w="5078" w:type="dxa"/>
          </w:tcPr>
          <w:p>
            <w:pPr>
              <w:spacing w:after="0"/>
            </w:pPr>
            <w:r>
              <w:rPr>
                <w:sz w:val="19"/>
              </w:rPr>
              <w:t>避難行動要支援者名簿の整備と個別避難計画の作成、図上訓練と避難訓練、医療的ケアに必要な電源（発電機）の確保、及び事業所の業務継続計画を書きます。</w:t>
            </w:r>
          </w:p>
        </w:tc>
        <w:tc>
          <w:tcPr>
            <w:tcW w:w="2476" w:type="dxa"/>
          </w:tcPr>
          <w:p>
            <w:pPr>
              <w:spacing w:after="0"/>
            </w:pPr>
            <w:r>
              <w:rPr>
                <w:sz w:val="19"/>
              </w:rPr>
              <w:t>第３章３、第４章２（４）、第５章２（11）／⑥生活環境</w:t>
            </w:r>
          </w:p>
        </w:tc>
      </w:tr>
      <w:tr>
        <w:tc>
          <w:tcPr>
            <w:tcW w:w="1858" w:type="dxa"/>
            <w:shd w:val="clear" w:color="auto" w:fill="EAF4EE"/>
          </w:tcPr>
          <w:p>
            <w:pPr>
              <w:spacing w:after="0"/>
            </w:pPr>
            <w:r>
              <w:rPr>
                <w:sz w:val="19"/>
              </w:rPr>
              <w:t>冬季の地域生活の継続</w:t>
            </w:r>
          </w:p>
        </w:tc>
        <w:tc>
          <w:tcPr>
            <w:tcW w:w="5078" w:type="dxa"/>
          </w:tcPr>
          <w:p>
            <w:pPr>
              <w:spacing w:after="0"/>
            </w:pPr>
            <w:r>
              <w:rPr>
                <w:sz w:val="19"/>
              </w:rPr>
              <w:t>除雪、通院・通所の確保、及び冬季の短期入所の受入れを新しい項として置きます。本村の冬季の状況を供給の制約として扱います。</w:t>
            </w:r>
          </w:p>
        </w:tc>
        <w:tc>
          <w:tcPr>
            <w:tcW w:w="2476" w:type="dxa"/>
          </w:tcPr>
          <w:p>
            <w:pPr>
              <w:spacing w:after="0"/>
            </w:pPr>
            <w:r>
              <w:rPr>
                <w:sz w:val="19"/>
              </w:rPr>
              <w:t>第５章２（14）／⑥生活環境</w:t>
            </w:r>
          </w:p>
        </w:tc>
      </w:tr>
      <w:tr>
        <w:tc>
          <w:tcPr>
            <w:tcW w:w="1858" w:type="dxa"/>
            <w:shd w:val="clear" w:color="auto" w:fill="EAF4EE"/>
          </w:tcPr>
          <w:p>
            <w:pPr>
              <w:spacing w:after="0"/>
            </w:pPr>
            <w:r>
              <w:rPr>
                <w:sz w:val="19"/>
              </w:rPr>
              <w:t>年齢到達に伴うサービスの移行</w:t>
            </w:r>
          </w:p>
        </w:tc>
        <w:tc>
          <w:tcPr>
            <w:tcW w:w="5078" w:type="dxa"/>
          </w:tcPr>
          <w:p>
            <w:pPr>
              <w:spacing w:after="0"/>
            </w:pPr>
            <w:r>
              <w:rPr>
                <w:sz w:val="19"/>
              </w:rPr>
              <w:t>18歳（学校卒業）、22歳（障害児入所施設からの移行）、及び65歳（介護保険）の３つの到達時点の引継ぎを一つの節にまとめます。</w:t>
            </w:r>
          </w:p>
        </w:tc>
        <w:tc>
          <w:tcPr>
            <w:tcW w:w="2476" w:type="dxa"/>
          </w:tcPr>
          <w:p>
            <w:pPr>
              <w:spacing w:after="0"/>
            </w:pPr>
            <w:r>
              <w:rPr>
                <w:sz w:val="19"/>
              </w:rPr>
              <w:t>第５章５／③福祉</w:t>
            </w:r>
          </w:p>
        </w:tc>
      </w:tr>
      <w:tr>
        <w:tc>
          <w:tcPr>
            <w:tcW w:w="1858" w:type="dxa"/>
            <w:shd w:val="clear" w:color="auto" w:fill="EAF4EE"/>
          </w:tcPr>
          <w:p>
            <w:pPr>
              <w:spacing w:after="0"/>
            </w:pPr>
            <w:r>
              <w:rPr>
                <w:sz w:val="19"/>
              </w:rPr>
              <w:t>成年後見制度の利用の促進</w:t>
            </w:r>
          </w:p>
        </w:tc>
        <w:tc>
          <w:tcPr>
            <w:tcW w:w="5078" w:type="dxa"/>
          </w:tcPr>
          <w:p>
            <w:pPr>
              <w:spacing w:after="0"/>
            </w:pPr>
            <w:r>
              <w:rPr>
                <w:sz w:val="19"/>
              </w:rPr>
              <w:t>成年後見制度利用促進基本計画を第６章として内包します。市民後見人の育成、法人後見支援事業、及び令和８年の民法等の改正への対応を書きます。</w:t>
            </w:r>
          </w:p>
        </w:tc>
        <w:tc>
          <w:tcPr>
            <w:tcW w:w="2476" w:type="dxa"/>
          </w:tcPr>
          <w:p>
            <w:pPr>
              <w:spacing w:after="0"/>
            </w:pPr>
            <w:r>
              <w:rPr>
                <w:sz w:val="19"/>
              </w:rPr>
              <w:t>第５章３（２）、第６章／③福祉</w:t>
            </w:r>
          </w:p>
        </w:tc>
      </w:tr>
      <w:tr>
        <w:tc>
          <w:tcPr>
            <w:tcW w:w="1858" w:type="dxa"/>
            <w:shd w:val="clear" w:color="auto" w:fill="EAF4EE"/>
          </w:tcPr>
          <w:p>
            <w:pPr>
              <w:spacing w:after="0"/>
            </w:pPr>
            <w:r>
              <w:rPr>
                <w:sz w:val="19"/>
              </w:rPr>
              <w:t>虐待の予防から再発の防止まで</w:t>
            </w:r>
          </w:p>
        </w:tc>
        <w:tc>
          <w:tcPr>
            <w:tcW w:w="5078" w:type="dxa"/>
          </w:tcPr>
          <w:p>
            <w:pPr>
              <w:spacing w:after="0"/>
            </w:pPr>
            <w:r>
              <w:rPr>
                <w:sz w:val="19"/>
              </w:rPr>
              <w:t>予防、発見、対応、再発の防止の４つの段階に分けて書きます。</w:t>
            </w:r>
          </w:p>
        </w:tc>
        <w:tc>
          <w:tcPr>
            <w:tcW w:w="2476" w:type="dxa"/>
          </w:tcPr>
          <w:p>
            <w:pPr>
              <w:spacing w:after="0"/>
            </w:pPr>
            <w:r>
              <w:rPr>
                <w:sz w:val="19"/>
              </w:rPr>
              <w:t>第５章２（12）／③福祉</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表３-３の読み方】ここに掲げた施策は、いずれも本計画の第４章から第６章までに具体的な内容を書いています。本節はその所在を示すものであり、施策の内容は各章をご覧ください。成果目標として数値を置くもの（就労選択支援、医療的ケア児等支援の協議の場、基幹相談支援センターなど）は第４章２に、見込量として数値を置くものは第５章に、成年後見制度に関するものは第６章にあります。</w:t>
            </w:r>
          </w:p>
        </w:tc>
      </w:tr>
    </w:tbl>
    <w:p>
      <w:pPr>
        <w:spacing w:after="0"/>
      </w:pPr>
    </w:p>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p>
      <w:r>
        <w:rPr>
          <w:b/>
        </w:rPr>
        <w:t>≪県の医療計画との関係≫</w:t>
      </w:r>
    </w:p>
    <w:p>
      <w:pPr>
        <w:ind w:firstLine="220"/>
      </w:pPr>
      <w:r>
        <w:rPr>
          <w:b w:val="0"/>
        </w:rPr>
        <w:t>国の基本指針は、この成果目標の達成に当たっては地域の医療サービスに係る体制の整備が重要であることから、特に医療計画（医療法第30条の４第１項に規定する医療計画）との関係に留意することとしています（第二の二）。本村に係る医療計画は第８次福島県医療計画（令和６年度～令和11年度）であり、その計画期間の終期は本計画と同じ令和11年度です。</w:t>
      </w:r>
    </w:p>
    <w:p>
      <w:pPr>
        <w:ind w:firstLine="220"/>
      </w:pPr>
      <w:r>
        <w:rPr>
          <w:b w:val="0"/>
        </w:rPr>
        <w:t>同計画は、第８章第５節（精神疾患対策）において、精神障がいのある方の地域生活に関する県全体の目標を次のとおり定めています。地域平均生活日数を令和11年に334日以上（令和元年321.3日）、精神科病床における１年以上の入院患者数を令和11年に65歳未満836人以下（令和３年1,059人）、65歳以上1,564人以下（令和３年1,867人）とするものです。いずれも都道府県を単位とする指標であり本村単独では算定できませんが、本村の１人の退院は、この県全体の目標に向かう動きの一部として位置づけられます。</w:t>
      </w:r>
    </w:p>
    <w:p>
      <w:pPr>
        <w:ind w:firstLine="220"/>
      </w:pPr>
      <w:r>
        <w:rPr>
          <w:b w:val="0"/>
        </w:rPr>
        <w:t>また同計画は、県の施策として、地域で生活する精神障がいのある方のうち未受診又は治療中断等により自らの意思で受診できずに日常生活上の危機が生じている方に対し多職種チームで介入する精神障がい者アウトリーチ事業を掲げています。本村において未受診又は治療中断の方の相談があった場合の接続先として用います。あわせて同計画は、市町村の役割として「自立支援協議会などの協議の場を通じて、精神科医療機関やその他の医療機関、地域援助事業者等との重層的連携を図り、顔の見える関係を構築すること」を掲げており、本節の協議の場は北塩原村障がい者自立支援協議会がこれを担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精神科病床における１年以上の入院患者数について、第７期福島県障がい福祉計画は令和６年度の計画で令和４年度実績を65歳未満995人としており、第８次福島県医療計画は令和３年を1,059人としています。出典はいずれも地域精神保健福祉資源分析データベースです。本計画の記述の前提とする値と、平均生活日数の目標（県障がい福祉計画325.3日以上・県医療計画334日以上）のいずれに沿うかを県に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医療的ケア児等コーディネーターの配置については、第８次福島県医療計画が県全体の指標として、配置市町村数を令和５年４月１日の15市町村から令和11年の59市町村へと定めています（指標Ｃ502）。59は県内の全市町村数であり、本村も対象に含まれます。目標年が本計画の終期と同じであるため、本計画期間の３年間が県の目標年までの期間と重なります。本村は近隣町村との共同による配置を含めて体制を整えます。</w:t>
      </w:r>
    </w:p>
    <w:p>
      <w:pPr>
        <w:ind w:firstLine="220"/>
      </w:pPr>
      <w:r>
        <w:rPr>
          <w:b w:val="0"/>
        </w:rPr>
        <w:t>あわせて同計画は、医療的ケア児が利用可能な訪問看護事業所数を令和５年の65施設から令和11年の80施設へ、小児の訪問診療を実施する診療所・病院数を令和３年の０施設から令和11年の６施設へとしています。小児の訪問診療の現況値が県全体で０施設であることから、本村の医療的ケア児への支援は、訪問診療を前提とせず、訪問看護と通院の支援を軸に組みます。県の医療的ケア児等支援センターは、市町村への医療的ケア児等コーディネーターの配置を支える立場にあります。</w:t>
      </w:r>
    </w:p>
    <w:p>
      <w:pPr>
        <w:spacing w:after="0"/>
      </w:pP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p>
      <w:pPr>
        <w:ind w:firstLine="220"/>
      </w:pPr>
      <w:r>
        <w:rPr>
          <w:b w:val="0"/>
        </w:rPr>
        <w:t>この個別避難計画は、村だけで書くものではなくなります。基本指針の改正案では、医療的ケア児等支援センターが、関係機関等への情報の提供及び研修等の業務や連絡調整に加えて、個別避難計画（災害対策基本法第49条の14第１項の個別避難計画）の作成についての協力及び災害時における市町村と連携した情報の提供等を行うこととされました。本村の個別避難計画は、第４次北塩原村障がい者計画の目標として令和11年度10件を掲げており（現状１件。第３章３）、医療的ケアを必要とする方の計画は人工呼吸器の電源、吸引器、医療材料の備蓄まで書き込む必要があるため、村の防災担当課と福祉の担当だけでは書き切れません。本村は、医療的ケア児の個別避難計画の作成に当たって県のセンターの協力を求め、災害時にセンターから情報を受け取る連絡の手順をあらかじめ決めておき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r>
        <w:rPr>
          <w:b/>
        </w:rPr>
        <w:t>≪県が設置する地域協議会と本村の協議の場≫</w:t>
      </w:r>
    </w:p>
    <w:p>
      <w:pPr>
        <w:ind w:firstLine="220"/>
      </w:pPr>
      <w:r>
        <w:rPr>
          <w:b w:val="0"/>
        </w:rPr>
        <w:t>医療的ケア児等への支援の体制は、県が設ける場と村が設ける場の二つで組み立てられます。令和８年８月19日に示された基本指針の改正案では、県は、医療的ケア児等及び重症心身障害児者並びにそれらの家族の支援の体制の整備を図るため、医療的ケア児等支援地域協議会（医療的ケア児等及び重症心身障害児者並びにそれらの家族に対する支援に関する法律第18条の２第１項の協議会）を設置する必要があるとされました。成果目標としては、令和11年度末までに、各県において地域協議会を設置すること、当該協議会に医療的ケア児等支援センターが参画すること、及び同センターに医療的ケア児等の支援を総合調整するコーディネーターを配置することを基本とするとされます。</w:t>
      </w:r>
    </w:p>
    <w:p>
      <w:pPr>
        <w:ind w:firstLine="220"/>
      </w:pPr>
      <w:r>
        <w:rPr>
          <w:b w:val="0"/>
        </w:rPr>
        <w:t>村が行うことは変わりません。令和11年度末までに、保健、医療、障がい福祉、保育、教育等の関係機関等が連携を図るための協議の場を設け、医療的ケア児等に関するコーディネーターを配置することを基本とします。村単独での設置が難しい場合には、県が関与したうえでの圏域での設置であっても差し支えないとされているため、本村は猪苗代町、磐梯町及び湯川村との共同設置を県の関与の下で進めます。</w:t>
      </w:r>
    </w:p>
    <w:p>
      <w:pPr>
        <w:ind w:firstLine="220"/>
      </w:pPr>
      <w:r>
        <w:rPr>
          <w:b w:val="0"/>
        </w:rPr>
        <w:t>本村にとって重いのは、学齢期から成人期への引継ぎを協議する場がどちらになるかです。改正案では、支援が学齢期から成人期へ円滑に引き継がれるよう協議することが、県の地域協議会において行うこととして記されています。本村の医療的ケア児は現在１人であり、村の協議の場だけで引継ぎを完結させることはできません。このため本村は、県の地域協議会の設置の時期を確かめ、本村が参画できるかどうか、参画できない場合に本村の事案をどの経路で上げるのかを定めておきます。医療的ケア児等支援センター及び同センターのコーディネーターは地域協議会に参画することとされているため、センターを通じて上げる経路も併せて確かめます。</w:t>
      </w:r>
    </w:p>
    <w:p>
      <w:pPr>
        <w:ind w:firstLine="220"/>
      </w:pPr>
      <w:r>
        <w:rPr>
          <w:b w:val="0"/>
        </w:rPr>
        <w:t>コーディネーターの配置人数を定めるに当たっては、医療的ケア児等のニーズに加えて重症心身障害の状態にある児者のニーズも勘案することとされました。本村は１人（継続）を目標としていますが、その根拠に重症心身障害の状態にある児者を含めて数え、把握していない場合は把握から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医療的ケア者の数え方】基本指針の改正案は、医療的ケア者を二つに分けて定めています。一つは、日常生活及び社会生活を営むために恒常的に医療的ケアを受けることが不可欠である児童（医療的ケア児）であった方であって、日常生活及び社会生活を営むために恒常的に医療的ケアを受けることが不可欠であるものです。この類型には、自立した生活を営むことが困難であることは求められていません。もう一つは、日常生活及び社会生活を営むために恒常的に医療的ケアを受けることが不可欠であり、かつこれにより自立した日常生活又は社会生活を営むことが困難な状態にある方です。二つは重なりません。本村が人数を数えるときは、医療的ケア児であった方を自立の状況によって落とさないようにしま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-126）】①県の医療的ケア児等支援地域協議会の設置の時期と、本村が参画できるかどうか。②本村が設ける協議の場と県の地域協議会の役割の分け方（４町村共同設置を県の関与の下で行う場合に、県の地域協議会と兼ねられるか）。③医療的ケア児等支援センターが個別避難計画の作成に協力する仕組みの具体の手順。④18歳以上の医療的ケア者の人数を、上の二つの類型に分けてお知らせください（Ｍ-26の数え方を絞るものです）。</w:t>
            </w:r>
          </w:p>
        </w:tc>
      </w:tr>
    </w:tbl>
    <w:p>
      <w:pPr>
        <w:spacing w:after="0"/>
      </w:pPr>
    </w:p>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ind w:firstLine="220"/>
      </w:pPr>
      <w:r>
        <w:rPr>
          <w:b w:val="0"/>
        </w:rPr>
        <w:t>この分野は、本計画期間において計画に書く事項として位置づけが変わります。社会福祉法等の一部を改正する法律（令和８年法律第51号）の施行に伴う基本指針の改正案では、「人材確保、ケアの充実のための生産性向上及び経営基盤の確立等に係る取組事項」が新たに置かれ、市町村障害福祉計画及び市町村障害児福祉計画において定めるよう努めなければならない事項とされました。対象となるのは、障がい福祉サービス等に従事する方だけではありません。障がい児の通所支援及び相談支援に従事する方も含まれます。</w:t>
      </w:r>
    </w:p>
    <w:p>
      <w:pPr>
        <w:ind w:firstLine="220"/>
      </w:pPr>
      <w:r>
        <w:rPr>
          <w:b w:val="0"/>
        </w:rPr>
        <w:t>本村には障がい児の通所支援の事業所がなく、住民は町外の事業所を利用しています（第５章１（５））。このため、障がい児支援の人材は圏域の単位でしか動きません。国の別表には、県が行う取組として、相談支援専門員の研修（初任者・現任・主任）のほか、サービス管理責任者及び児童発達支援管理責任者の研修（基礎・実践・更新）の修了者数の見込みを定めることが掲げられています。児童発達支援管理責任者は、児童発達支援及び放課後等デイサービスの事業所に置かなければならない職であり、この職が欠けると事業所は支援を続けられません。</w:t>
      </w:r>
    </w:p>
    <w:p>
      <w:pPr>
        <w:ind w:firstLine="220"/>
      </w:pPr>
      <w:r>
        <w:rPr>
          <w:b w:val="0"/>
        </w:rPr>
        <w:t>基本指針の改正案は、県がこれらの取組を行うに当たって関係市町村との連携を図ることが重要であるとし、必要に応じてその内容を市町村の計画に反映することが必要であるとしています。このため本村は、本計画期間において次の三つを行います。第一に、本村の住民が利用する圏域の事業所について、児童発達支援管理責任者その他の人員の配置の状況と欠員の有無を、受入余力の照会（第５章２（７））と併せて把握します。第二に、県の研修の実施の予定を受け取り、圏域の事業所に伝えます。第三に、事業所の休止又は廃止の見込みを把握し、本村の住民の利用に影響が及ぶ場合は県及び近隣町村と共有します。</w:t>
      </w:r>
    </w:p>
    <w:p>
      <w:pPr>
        <w:spacing w:after="0"/>
      </w:pP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強度行動障害を有する方等の重度障がい者の内数の見込み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ind w:firstLine="220"/>
      </w:pPr>
      <w:r>
        <w:rPr>
          <w:b w:val="0"/>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ind w:firstLine="220"/>
      </w:pPr>
      <w:r>
        <w:rPr>
          <w:b w:val="0"/>
        </w:rPr>
        <w:t>電話による連絡が難しい方の手段を具体的に掲げます。第４次北塩原村障がい者計画は、６生活環境（２）防犯・防災対策の推進において、聴覚障がいのある方等が消防へ文字で通報できる仕組みである「ＮＥＴ１１９」への登録勧奨と、住民自主防災組織等のネットワークの確立を掲げています。本計画では、この取組みを情報の取得と意思疎通の施策の中に置き直し、登録の勧奨を続けます。</w:t>
      </w:r>
    </w:p>
    <w:p>
      <w:pPr>
        <w:ind w:firstLine="220"/>
      </w:pPr>
      <w:r>
        <w:rPr>
          <w:b w:val="0"/>
        </w:rPr>
        <w:t>ＮＥＴ１１９は消防への緊急の通報を文字で行う仕組みであり、成人等の救急電話相談（#7119）及び子どもの救急電話相談（#8000）の代わりになるものではありません。前者は火事や救急車の要請、後者は受診の判断の相談であり、用途が違います。このため本計画では、両者を別のものとして案内します。電話以外の手段としては、このほか、聴覚障がい又は言語障がいのある方と電話の相手との間を通訳者が文字と音声でつなぐ電話リレーサービスがあります。村の窓口と相談の案内には、ＮＥＴ１１９、電話リレーサービス、ファクシミリ及びメールのうち本村で実際に使えるものを掲げ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-131）】①ＮＥＴ１１９の本村における登録者数と登録勧奨の実績（令和６年度・令和７年度）、②村の窓口及び相談の案内に電話以外の手段（ファクシミリ、メール、電話リレーサービス）を掲げているか、③掲げている場合の受付の時間帯を確認のうえ、本文に書き加えます。</w:t>
            </w:r>
          </w:p>
        </w:tc>
      </w:tr>
    </w:tbl>
    <w:p>
      <w:pPr>
        <w:spacing w:after="0"/>
      </w:pP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ind w:firstLine="220"/>
      </w:pPr>
      <w:r>
        <w:rPr>
          <w:b w:val="0"/>
        </w:rPr>
        <w:t>この仕組みは、障がい児の通所支援についても働きます。指定の権限は、児童発達支援、放課後等デイサービス、保育所等訪問支援及び障がい児相談支援についても県にあります。</w:t>
      </w:r>
    </w:p>
    <w:p>
      <w:pPr>
        <w:ind w:firstLine="220"/>
      </w:pPr>
      <w:r>
        <w:rPr>
          <w:b w:val="0"/>
        </w:rPr>
        <w:t>意見の申出は、足りないときに申し出るだけのものではありません。国の基本指針は、供給が地域のニーズに対して過剰にならないよう、県は計画に定める必要な量に既に達している場合などに事業者の指定をしないことができるとしたうえで、強度行動障害の状態にある児者、高次脳機能障害を有する児者及び医療的ケア児等の重度の障がいのある児者の個別のニーズを勘案し、必要な場合には、その対応の必要性やこれらの方の利用者数の見込みを計画に定めること等により、個別のニーズに対応する事業者を指定する運用が望ましいとしています。そのうえで、市町村はこのニーズに関する意見の申出を積極的に実施することとされています。</w:t>
      </w:r>
    </w:p>
    <w:p>
      <w:pPr>
        <w:ind w:firstLine="220"/>
      </w:pPr>
      <w:r>
        <w:rPr>
          <w:b w:val="0"/>
        </w:rPr>
        <w:t>本村はこれを次のように用います。表５-９に掲げた重度の障がいのある方の内数は、見込量の内訳を示すためだけのものではありません。本村の住民が必要とする支援を提供できる事業所が圏域にない場合に、この内数を根拠として県に意見を申し出ます。医療型短期入所の指定が圏域に０カ所である（第５章１（２））こと、主に重症心身障がい児を支援する事業所が村内に０カ所である（第４章２（４））ことは、いずれもこの申出の対象になります。</w:t>
      </w:r>
    </w:p>
    <w:p>
      <w:pPr>
        <w:spacing w:after="0"/>
      </w:pP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ind w:firstLine="220"/>
      </w:pPr>
      <w:r>
        <w:rPr>
          <w:b w:val="0"/>
        </w:rPr>
        <w:t>災害のときの精神科医療についても、村単独では組めません。第８次福島県医療計画は、大規模災害に備えて災害派遣精神医療チーム（ＤＰＡＴ）を整備するとともに、災害時においても精神疾患を有する患者の受入れや一次避難所としての機能を有する災害拠点精神科病院を１カ所以上指定することとしています。本村は豪雪地であり、避難が長期にわたる場合には避難所での精神科医療の確保が要になります。災害時の受援の経路として、ＤＰＡＴ及び災害拠点精神科病院を村の地域防災計画上の関係機関と併せて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【村へ確認（Ｓ-38）】福島県における災害拠点精神科病院の指定の状況（指定の有無、指定された病院の名称及び所在）と、ＤＰＡＴの派遣を求める場合の経路を県に確かめてください。</w:t>
            </w:r>
          </w:p>
        </w:tc>
      </w:tr>
    </w:tbl>
    <w:p>
      <w:pPr>
        <w:spacing w:after="0"/>
      </w:pP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ind w:firstLine="220"/>
      </w:pPr>
      <w:r>
        <w:rPr>
          <w:b w:val="0"/>
        </w:rPr>
        <w:t>村内で受けられる医療は、第８次福島県医療計画においてへき地診療所として位置づけられています。同計画の図表８－９－１（令和５年４月１日現在）は、会津・南会津医療圏の市町村立のへき地診療所として南東北裏磐梯診療所及び南東北桧原診療所を掲げており、いずれも本村の診療所です。へき地診療所は県全体で27カ所（仮設１を含む）、常勤医師は25人（令和４年４月１日現在）であり、同計画は「へき地診療所で勤務する常勤医師の高齢化が進んでおり、安定的な医師の確保が課題となっています」としています。本計画では、村内の医療が細る場合に備え、かかりつけ医を村内に持つことを勧めると同時に、圏域の医療機関への通院の手段を（14）の冬季の制約とあわせて確かめます。</w:t>
      </w:r>
    </w:p>
    <w:p>
      <w:pPr>
        <w:spacing w:after="0"/>
      </w:pP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p>
      <w:pPr>
        <w:ind w:firstLine="220"/>
      </w:pPr>
      <w:r>
        <w:rPr>
          <w:b w:val="0"/>
        </w:rPr>
        <w:t>救急については、受入れ先が見つからないことと、搬送に時間を要することとを分けて扱います。第８次福島県医療計画の図表12－４－１（令和３年度）によれば、重症以上の傷病者の搬送において医療機関に４回以上の受入照会を行った件数の割合は、会津が1,539件のうち１件（0.1％）、南会津が201件のうち０件（0.0％）であり、いわき（12.1％）や県中（5.8％）と比べて著しく低くなっています。本圏域の課題は受入れ先の確保ではなく、搬送に要する時間の側にあると考えられます。本計画では、救急時の様式（（11））と個別避難計画により、搬送が始まった時点で必要な情報がそろっていることを重視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本村の救急搬送を担う消防本部と、冬季における搬送に要する時間（平時との差）を確かめてください。第８次福島県医療計画は、博士トンネルの開通（令和５年９月10日）により冬季救急搬送時間の短縮が見込まれるとしていますが、同トンネルは下郷町と南会津町を結ぶもので本村の搬送経路ではありません。</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量を見込む前に、一人ごとに何が妨げになっているかを確かめます。外出を妨げるものは、移動の手段がないこと、同行する人がいないこと、乗降に介助が必要なこと、冬季に道が通れないこと、目的地までの距離、費用の負担、及び制度を知らないことなど複数あり、妨げが違えば必要な支援も違います。本計画では、外出に困っていると回答した方及び相談のあった方について、相談支援事業所が計画相談支援のアセスメントを行う場で、どの妨げに当たるかを一人ごとに確かめます。確かめた結果は、移動支援事業で担えるもの、一般の施策（路線バスの無料化等）で担えるもの、住民の活動で担えるもの（本章（２）自発的活動支援事業）、及びいずれでも担えないものに分けて記録し、毎年度の点検評価（第１章６）に載せます。いずれでも担えないものが残る場合は、（３）の供給の制約として扱い、第５章２（９）の県への意見申出の材料とします。</w:t>
      </w:r>
    </w:p>
    <w:p>
      <w:pPr>
        <w:spacing w:after="0"/>
      </w:pP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ind w:firstLine="220"/>
      </w:pPr>
      <w:r>
        <w:rPr>
          <w:b w:val="0"/>
        </w:rPr>
        <w:t>実施の場には学校を含めます。第４次北塩原村障がい者計画は、４教育・育成（１）教育施策の充実において福祉教育の推進を掲げ、学校教育の段階で児童が障がいを理解し行動できるよう、道徳教育、ボランティア活動及び総合的な学習の時間等を通じて進めることとしています。本村には手話出前講座の実績があり（本章（２）意思疎通支援事業）、小中学校を含む村内の団体等へ出向いています。理解促進研修・啓発事業についても、村の施設における展示や広報誌の特集だけでなく、学校等の教育機関における福祉教育と交流の場づくりを実施の方法に含め、教育委員会及び村内の小中学校と実施の時期を調整します。</w:t>
      </w:r>
    </w:p>
    <w:p>
      <w:pPr>
        <w:spacing w:after="0"/>
      </w:pP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93208"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93208"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6692"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6692"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6884"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6884"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p>
      <w:pPr>
        <w:pStyle w:val="2"/>
      </w:pPr>
      <w:r>
        <w:t>５　第８次福島県医療計画との連携</w:t>
      </w:r>
    </w:p>
    <w:p>
      <w:pPr>
        <w:ind w:firstLine="220"/>
      </w:pPr>
      <w:r>
        <w:rPr>
          <w:b w:val="0"/>
        </w:rPr>
        <w:t>国の基本指針 第三の一の７（他の計画等との関係）は、障害福祉計画等を、医療計画（医療法第30条の４第１項に規定する医療計画）その他の法律の規定による計画等であって障害者等の福祉に関する事項を定めるものと調和が保たれたものとすることが必要であるとしています。本村に係る医療計画は「第８次福島県医療計画」（令和６年３月策定、計画期間：令和６年度～令和11年度）です。同計画は、医療法第30条の４第１項に基づく法定計画であるとともに、「市町村における医療行政分野の計画策定や施策推進のための指針や助言となる計画」としての役割を自ら掲げています。</w:t>
      </w:r>
    </w:p>
    <w:p>
      <w:pPr>
        <w:ind w:firstLine="220"/>
      </w:pPr>
      <w:r>
        <w:rPr>
          <w:b w:val="0"/>
        </w:rPr>
        <w:t>同計画の計画期間の終期は本計画と同じ令和11年度であり、本計画の期間（令和９年度～令和11年度）は同計画の後半３年に収まります。また同計画は、在宅医療、外来医療及び医師の確保に関する事項について３年ごとに調査、分析及び評価を行うこととしており、これに当たるのが令和８年度です。本計画の策定と同じ年度に県の見直しが進むため、見直しの結果を踏まえて整合を確かめます。</w:t>
      </w:r>
    </w:p>
    <w:p>
      <w:pPr>
        <w:ind w:firstLine="220"/>
      </w:pPr>
      <w:r>
        <w:rPr>
          <w:b w:val="0"/>
        </w:rPr>
        <w:t>同計画は、医療法が定める主要な医療分野として５疾病（がん、脳卒中、心筋梗塞等の心血管疾患、糖尿病、精神疾患）及び６事業（救急医療、災害時における医療、新興感染症発生・まん延時における医療、へき地の医療、周産期医療、小児医療）を扱っています。このうち本計画に直に関わるものは次のとおりです。</w:t>
      </w:r>
    </w:p>
    <w:p>
      <w:pPr>
        <w:spacing w:before="80" w:after="20"/>
      </w:pPr>
      <w:r>
        <w:rPr>
          <w:b/>
          <w:sz w:val="20"/>
        </w:rPr>
        <w:t>表７-５　第８次福島県医療計画との連携</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医療計画の分野</w:t>
            </w:r>
          </w:p>
        </w:tc>
        <w:tc>
          <w:tcPr>
            <w:tcW w:w="3839" w:type="dxa"/>
            <w:shd w:val="clear" w:color="auto" w:fill="2D7A57"/>
          </w:tcPr>
          <w:p>
            <w:pPr>
              <w:spacing w:after="0"/>
              <w:jc w:val="center"/>
            </w:pPr>
            <w:r>
              <w:rPr>
                <w:b/>
                <w:color w:val="FFFFFF"/>
                <w:sz w:val="19"/>
              </w:rPr>
              <w:t>県の主な内容</w:t>
            </w:r>
          </w:p>
        </w:tc>
        <w:tc>
          <w:tcPr>
            <w:tcW w:w="3468" w:type="dxa"/>
            <w:shd w:val="clear" w:color="auto" w:fill="2D7A57"/>
          </w:tcPr>
          <w:p>
            <w:pPr>
              <w:spacing w:after="0"/>
              <w:jc w:val="center"/>
            </w:pPr>
            <w:r>
              <w:rPr>
                <w:b/>
                <w:color w:val="FFFFFF"/>
                <w:sz w:val="19"/>
              </w:rPr>
              <w:t>本計画での連携</w:t>
            </w:r>
          </w:p>
        </w:tc>
      </w:tr>
      <w:tr>
        <w:tc>
          <w:tcPr>
            <w:tcW w:w="2105" w:type="dxa"/>
            <w:shd w:val="clear" w:color="auto" w:fill="EAF4EE"/>
          </w:tcPr>
          <w:p>
            <w:pPr>
              <w:spacing w:after="0"/>
            </w:pPr>
            <w:r>
              <w:rPr>
                <w:sz w:val="19"/>
              </w:rPr>
              <w:t>精神疾患対策</w:t>
              <w:br/>
              <w:t>（第８章第５節）</w:t>
            </w:r>
          </w:p>
        </w:tc>
        <w:tc>
          <w:tcPr>
            <w:tcW w:w="3839" w:type="dxa"/>
          </w:tcPr>
          <w:p>
            <w:pPr>
              <w:spacing w:after="0"/>
            </w:pPr>
            <w:r>
              <w:rPr>
                <w:sz w:val="19"/>
              </w:rPr>
              <w:t>地域平均生活日数を令和11年に334日以上、精神科病床における１年以上の入院患者数を令和11年に65歳未満836人以下・65歳以上1,564人以下とする。精神障がい者アウトリーチ事業、こころの健康サポーターの養成</w:t>
            </w:r>
          </w:p>
        </w:tc>
        <w:tc>
          <w:tcPr>
            <w:tcW w:w="3468" w:type="dxa"/>
          </w:tcPr>
          <w:p>
            <w:pPr>
              <w:spacing w:after="0"/>
            </w:pPr>
            <w:r>
              <w:rPr>
                <w:sz w:val="19"/>
              </w:rPr>
              <w:t>第４章２（２）。退院者１人の見込みを県全体の目標に向かう動きの一部として位置づける。未受診・治療中断の方の相談は県のアウトリーチ事業へつなぐ</w:t>
            </w:r>
          </w:p>
        </w:tc>
      </w:tr>
      <w:tr>
        <w:tc>
          <w:tcPr>
            <w:tcW w:w="2105" w:type="dxa"/>
            <w:shd w:val="clear" w:color="auto" w:fill="EAF4EE"/>
          </w:tcPr>
          <w:p>
            <w:pPr>
              <w:spacing w:after="0"/>
            </w:pPr>
            <w:r>
              <w:rPr>
                <w:sz w:val="19"/>
              </w:rPr>
              <w:t>へき地の医療</w:t>
              <w:br/>
              <w:t>（第８章第９節）</w:t>
            </w:r>
          </w:p>
        </w:tc>
        <w:tc>
          <w:tcPr>
            <w:tcW w:w="3839" w:type="dxa"/>
          </w:tcPr>
          <w:p>
            <w:pPr>
              <w:spacing w:after="0"/>
            </w:pPr>
            <w:r>
              <w:rPr>
                <w:sz w:val="19"/>
              </w:rPr>
              <w:t>村内の南東北裏磐梯診療所及び南東北桧原診療所を市町村立のへき地診療所として掲げる。県全体で27カ所・常勤医師25人であり、常勤医師の高齢化を課題とする</w:t>
            </w:r>
          </w:p>
        </w:tc>
        <w:tc>
          <w:tcPr>
            <w:tcW w:w="3468" w:type="dxa"/>
          </w:tcPr>
          <w:p>
            <w:pPr>
              <w:spacing w:after="0"/>
            </w:pPr>
            <w:r>
              <w:rPr>
                <w:sz w:val="19"/>
              </w:rPr>
              <w:t>第５章２（15）。村内の医療が細る場合に備え、圏域の医療機関への通院の手段を冬季の制約とあわせて確かめる</w:t>
            </w:r>
          </w:p>
        </w:tc>
      </w:tr>
      <w:tr>
        <w:tc>
          <w:tcPr>
            <w:tcW w:w="2105" w:type="dxa"/>
            <w:shd w:val="clear" w:color="auto" w:fill="EAF4EE"/>
          </w:tcPr>
          <w:p>
            <w:pPr>
              <w:spacing w:after="0"/>
            </w:pPr>
            <w:r>
              <w:rPr>
                <w:sz w:val="19"/>
              </w:rPr>
              <w:t>災害時における医療</w:t>
              <w:br/>
              <w:t>（第８章第５節・第７節第１項）</w:t>
            </w:r>
          </w:p>
        </w:tc>
        <w:tc>
          <w:tcPr>
            <w:tcW w:w="3839" w:type="dxa"/>
          </w:tcPr>
          <w:p>
            <w:pPr>
              <w:spacing w:after="0"/>
            </w:pPr>
            <w:r>
              <w:rPr>
                <w:sz w:val="19"/>
              </w:rPr>
              <w:t>災害派遣精神医療チーム（ＤＰＡＴ）の整備、災害拠点精神科病院を１カ所以上指定</w:t>
            </w:r>
          </w:p>
        </w:tc>
        <w:tc>
          <w:tcPr>
            <w:tcW w:w="3468" w:type="dxa"/>
          </w:tcPr>
          <w:p>
            <w:pPr>
              <w:spacing w:after="0"/>
            </w:pPr>
            <w:r>
              <w:rPr>
                <w:sz w:val="19"/>
              </w:rPr>
              <w:t>第５章２（11）。災害時の受援の経路として整理する</w:t>
            </w:r>
          </w:p>
        </w:tc>
      </w:tr>
      <w:tr>
        <w:tc>
          <w:tcPr>
            <w:tcW w:w="2105" w:type="dxa"/>
            <w:shd w:val="clear" w:color="auto" w:fill="EAF4EE"/>
          </w:tcPr>
          <w:p>
            <w:pPr>
              <w:spacing w:after="0"/>
            </w:pPr>
            <w:r>
              <w:rPr>
                <w:sz w:val="19"/>
              </w:rPr>
              <w:t>小児医療</w:t>
              <w:br/>
              <w:t>（第８章第11節）</w:t>
            </w:r>
          </w:p>
        </w:tc>
        <w:tc>
          <w:tcPr>
            <w:tcW w:w="3839" w:type="dxa"/>
          </w:tcPr>
          <w:p>
            <w:pPr>
              <w:spacing w:after="0"/>
            </w:pPr>
            <w:r>
              <w:rPr>
                <w:sz w:val="19"/>
              </w:rPr>
              <w:t>医療的ケア児等コーディネーター配置市町村数を令和11年に59市町村（県内全市町村）、医療的ケア児が利用可能な訪問看護事業所数を令和11年に80施設とする</w:t>
            </w:r>
          </w:p>
        </w:tc>
        <w:tc>
          <w:tcPr>
            <w:tcW w:w="3468" w:type="dxa"/>
          </w:tcPr>
          <w:p>
            <w:pPr>
              <w:spacing w:after="0"/>
            </w:pPr>
            <w:r>
              <w:rPr>
                <w:sz w:val="19"/>
              </w:rPr>
              <w:t>第４章２（４）。本村も対象に含まれる。近隣町村との共同による配置を含めて体制を整える</w:t>
            </w:r>
          </w:p>
        </w:tc>
      </w:tr>
      <w:tr>
        <w:tc>
          <w:tcPr>
            <w:tcW w:w="2105" w:type="dxa"/>
            <w:shd w:val="clear" w:color="auto" w:fill="EAF4EE"/>
          </w:tcPr>
          <w:p>
            <w:pPr>
              <w:spacing w:after="0"/>
            </w:pPr>
            <w:r>
              <w:rPr>
                <w:sz w:val="19"/>
              </w:rPr>
              <w:t>在宅医療</w:t>
              <w:br/>
              <w:t>（第８章第12節）</w:t>
            </w:r>
          </w:p>
        </w:tc>
        <w:tc>
          <w:tcPr>
            <w:tcW w:w="3839" w:type="dxa"/>
          </w:tcPr>
          <w:p>
            <w:pPr>
              <w:spacing w:after="0"/>
            </w:pPr>
            <w:r>
              <w:rPr>
                <w:sz w:val="19"/>
              </w:rPr>
              <w:t>３年ごとの見直しの対象（令和８年度）</w:t>
            </w:r>
          </w:p>
        </w:tc>
        <w:tc>
          <w:tcPr>
            <w:tcW w:w="3468" w:type="dxa"/>
          </w:tcPr>
          <w:p>
            <w:pPr>
              <w:spacing w:after="0"/>
            </w:pPr>
            <w:r>
              <w:rPr>
                <w:sz w:val="19"/>
              </w:rPr>
              <w:t>第５章２（15）。見直しの結果を踏まえて医療へのアクセスの記述を確かめる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第８次福島県医療計画のうち第３章（医療圏と基準病床数）及び第10章（医療機関相互の連携、医療ＤＸの推進）が手元にありません。また、同計画の３年ごとの見直し（令和８年度。在宅医療・外来医療・医師の確保）の状況を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