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游ゴシック" w:hAnsi="游ゴシック" w:eastAsia="游ゴシック"/>
          <w:b w:val="0"/>
          <w:sz w:val="22"/>
        </w:rPr>
        <w:t>大雪地区広域連合　介護保険対策室　御中</w:t>
      </w:r>
    </w:p>
    <w:p>
      <w:pPr>
        <w:spacing w:after="80"/>
      </w:pPr>
      <w:r>
        <w:rPr>
          <w:rFonts w:ascii="游ゴシック" w:hAnsi="游ゴシック" w:eastAsia="游ゴシック"/>
          <w:b w:val="0"/>
          <w:sz w:val="21"/>
        </w:rPr>
      </w:r>
    </w:p>
    <w:p>
      <w:pPr>
        <w:spacing w:after="40"/>
        <w:jc w:val="center"/>
      </w:pPr>
      <w:r>
        <w:rPr>
          <w:rFonts w:ascii="游ゴシック" w:hAnsi="游ゴシック" w:eastAsia="游ゴシック"/>
          <w:b/>
          <w:sz w:val="30"/>
        </w:rPr>
        <w:t>第10期介護保険事業計画策定業務　確認依頼書</w:t>
      </w:r>
    </w:p>
    <w:p>
      <w:pPr>
        <w:spacing w:after="40"/>
        <w:jc w:val="center"/>
      </w:pPr>
      <w:r>
        <w:rPr>
          <w:rFonts w:ascii="游ゴシック" w:hAnsi="游ゴシック" w:eastAsia="游ゴシック"/>
          <w:b w:val="0"/>
          <w:sz w:val="20"/>
        </w:rPr>
        <w:t>― 第1回介護保険事業計画策定委員会に向けた確認事項 ―</w:t>
      </w:r>
    </w:p>
    <w:p>
      <w:pPr>
        <w:spacing w:after="200"/>
        <w:jc w:val="center"/>
      </w:pPr>
      <w:r>
        <w:rPr>
          <w:rFonts w:ascii="游ゴシック" w:hAnsi="游ゴシック" w:eastAsia="游ゴシック"/>
          <w:b w:val="0"/>
          <w:sz w:val="18"/>
        </w:rPr>
        <w:t>（第9版　自給率・地域差指数・保険料・人口の受領と人口推計の基礎の案を反映）</w:t>
      </w:r>
    </w:p>
    <w:p>
      <w:pPr>
        <w:spacing w:after="280"/>
        <w:jc w:val="right"/>
      </w:pPr>
      <w:r>
        <w:rPr>
          <w:rFonts w:ascii="游ゴシック" w:hAnsi="游ゴシック" w:eastAsia="游ゴシック"/>
          <w:b w:val="0"/>
          <w:sz w:val="21"/>
        </w:rPr>
        <w:t>令和8年7月31日</w:t>
      </w:r>
    </w:p>
    <w:p>
      <w:pPr>
        <w:spacing w:after="80"/>
      </w:pPr>
      <w:r>
        <w:rPr>
          <w:rFonts w:ascii="游ゴシック" w:hAnsi="游ゴシック" w:eastAsia="游ゴシック"/>
          <w:b w:val="0"/>
          <w:sz w:val="21"/>
        </w:rPr>
        <w:t>平素より大変お世話になっております。</w:t>
      </w:r>
    </w:p>
    <w:p>
      <w:pPr>
        <w:spacing w:after="80"/>
      </w:pPr>
      <w:r>
        <w:rPr>
          <w:rFonts w:ascii="游ゴシック" w:hAnsi="游ゴシック" w:eastAsia="游ゴシック"/>
          <w:b w:val="0"/>
          <w:sz w:val="21"/>
        </w:rPr>
        <w:t>第10期介護保険事業計画の策定にあたり、貸与いただいた第9期計画、3町の高齢者福祉計画、業務仕様書、地域包括ケア「見える化」システムのデータ、令和7年度 健康とくらしの調査の成果物を精査し、あわせて第9期計画の妥当性と第10期施策の妥当性を検証いたしました。</w:t>
      </w:r>
    </w:p>
    <w:p>
      <w:pPr>
        <w:spacing w:after="80"/>
      </w:pPr>
      <w:r>
        <w:rPr>
          <w:rFonts w:ascii="游ゴシック" w:hAnsi="游ゴシック" w:eastAsia="游ゴシック"/>
          <w:b w:val="0"/>
          <w:sz w:val="21"/>
        </w:rPr>
        <w:t>その結果、修正指示は66件（うち第1回委員会前に対応すべきもの20件）となり、そのうち発注者へのご確認が必要なものが44件ございます。</w:t>
      </w:r>
    </w:p>
    <w:p>
      <w:pPr>
        <w:spacing w:after="200"/>
      </w:pPr>
      <w:r>
        <w:rPr>
          <w:rFonts w:ascii="游ゴシック" w:hAnsi="游ゴシック" w:eastAsia="游ゴシック"/>
          <w:b w:val="0"/>
          <w:sz w:val="21"/>
        </w:rPr>
        <w:t>本書では、第1回委員会でご決定いただきたい事項8件、事務局にてご確認いただきたい事項22件、ご提供をお願いする資料24件に整理しております。</w:t>
      </w:r>
    </w:p>
    <w:p>
      <w:pPr>
        <w:spacing w:after="200"/>
      </w:pPr>
      <w:r>
        <w:rPr>
          <w:rFonts w:ascii="游ゴシック" w:hAnsi="游ゴシック" w:eastAsia="游ゴシック"/>
          <w:b w:val="0"/>
          <w:sz w:val="21"/>
        </w:rPr>
        <w:t>なお、その後の資料の受領及びご決定により事項が増減しているため、現時点の必要事項は別冊の「必要事項の一覧」（8シート）に集約しております。本書と重複する事項は同表に統合しておりますので、以後の管理は同表によりお願いいたします。</w:t>
      </w:r>
    </w:p>
    <w:p>
      <w:pPr>
        <w:spacing w:after="200"/>
      </w:pPr>
      <w:r>
        <w:rPr>
          <w:rFonts w:ascii="游ゴシック" w:hAnsi="游ゴシック" w:eastAsia="游ゴシック"/>
          <w:b w:val="0"/>
          <w:sz w:val="21"/>
        </w:rPr>
        <w:t>このたび、第10期介護保険事業（支援）計画の基本指針案（社会保障審議会介護保険部会 第134回・第135回資料）及び第9期北海道高齢者保健福祉計画・介護保険事業支援計画の本編をご提供いただき、国及び北海道の方針との整合を原典で確認いたしました。その結果、第9期の代表KPI④「通いの場参加率」について、目標の根拠とした国の目標値と実績の統計が異なることが判明いたしました（下記１（7））。あわせて、基本指針に新設される別表「確認すべき指標・状況」11事項のうち、現時点で対応できているのが2事項にとどまることを確認しております。</w:t>
      </w:r>
    </w:p>
    <w:p>
      <w:pPr>
        <w:spacing w:after="200"/>
      </w:pPr>
      <w:r>
        <w:rPr>
          <w:rFonts w:ascii="游ゴシック" w:hAnsi="游ゴシック" w:eastAsia="游ゴシック"/>
          <w:b w:val="0"/>
          <w:sz w:val="21"/>
        </w:rPr>
        <w:t>あわせて、北海道の計画が第5章の全8節を「現状と課題／関連データ／施策の方向性／主な事業（インプット・アウトプット）／達成目標（アウトカム）」の5層で記述しており、国の基本指針案が求めるロジックモデルを既に実装していることを確認いたしました。第10期計画の第5章も同じ構成に改めることを提案いたします（下記４の参考をご覧ください）。</w:t>
      </w:r>
    </w:p>
    <w:p>
      <w:pPr>
        <w:spacing w:after="200"/>
      </w:pPr>
      <w:r>
        <w:rPr>
          <w:rFonts w:ascii="游ゴシック" w:hAnsi="游ゴシック" w:eastAsia="游ゴシック"/>
          <w:b w:val="0"/>
          <w:sz w:val="21"/>
        </w:rPr>
        <w:t>さらに令和8年7月29日に、見える化システムのK系列（サービス提供事業所数　全28サービス種別）、M系列（従事者数　13サービス）、W系列（保険者機能強化推進交付金等の評価指標）をご提供いただきました。あわせて、δ系列（介護サービス自給率）、H1・H2（介護人材の必要数）、J系列（認知症）、L系列（医療機関・看取り・診療報酬側の連携）についてデータ登録がなく出力できない旨をご教示いただきました。これにより、基本指針の新別表11事項への対応状況は「対応済み2・一部対応2・重大な課題2・未対応5」から「対応済み2・一部対応4・重大な課題1・未対応4」へ改善し、残る未取得分についても代替手段を特定できました（下記３）。</w:t>
      </w:r>
    </w:p>
    <w:p>
      <w:pPr>
        <w:spacing w:after="200"/>
      </w:pPr>
      <w:r>
        <w:rPr>
          <w:rFonts w:ascii="游ゴシック" w:hAnsi="游ゴシック" w:eastAsia="游ゴシック"/>
          <w:b w:val="0"/>
          <w:sz w:val="21"/>
        </w:rPr>
        <w:t>この追加データから、次の3点が新たに判明いたしました。第一に、重度者の在宅生活を24時間支える3サービス（定期巡回・随時対応型訪問介護看護、夜間対応型訪問介護、看護小規模多機能型居宅介護）が制度創設以来13年間、管内に1事業所も存在しないことです（下記１(8)）。第二に、保険者機能強化推進交付金等の総合得点が332.0点で全国平均422.4点の78.6％にとどまり、特に成果指標群が全国の123.5％と高い一方、活動指標群が全国の23.2％と低いことです（下記２の20・21）。第三に、国が算定している性・年齢調整済み要介護2以上の認定率（W144）がH01のデータ源として使用でき、これまでご相談しておりました見える化B5-aの2系列の選択問題が解消することです（下記１(2)）。</w:t>
      </w:r>
    </w:p>
    <w:p>
      <w:pPr>
        <w:spacing w:after="80"/>
      </w:pPr>
      <w:r>
        <w:rPr>
          <w:rFonts w:ascii="游ゴシック" w:hAnsi="游ゴシック" w:eastAsia="游ゴシック"/>
          <w:b/>
          <w:sz w:val="20"/>
        </w:rPr>
        <w:t>【検証で確認できた中心的な事実】</w:t>
      </w:r>
    </w:p>
    <w:tbl>
      <w:tblPr>
        <w:tblStyle w:val="TableGrid"/>
        <w:tblW w:type="auto" w:w="0"/>
        <w:jc w:val="center"/>
        <w:tblLook w:firstColumn="1" w:firstRow="1" w:lastColumn="0" w:lastRow="0" w:noHBand="0" w:noVBand="1" w:val="04A0"/>
      </w:tblPr>
      <w:tblGrid>
        <w:gridCol w:w="5100"/>
        <w:gridCol w:w="5100"/>
      </w:tblGrid>
      <w:tr>
        <w:tc>
          <w:tcPr>
            <w:tcW w:type="dxa" w:w="2041"/>
          </w:tcPr>
          <w:p>
            <w:r/>
            <w:r>
              <w:rPr>
                <w:rFonts w:ascii="游ゴシック" w:hAnsi="游ゴシック" w:eastAsia="游ゴシック"/>
                <w:b/>
                <w:sz w:val="18"/>
              </w:rPr>
              <w:t>論点</w:t>
            </w:r>
          </w:p>
        </w:tc>
        <w:tc>
          <w:tcPr>
            <w:tcW w:type="dxa" w:w="7710"/>
          </w:tcPr>
          <w:p>
            <w:r/>
            <w:r>
              <w:rPr>
                <w:rFonts w:ascii="游ゴシック" w:hAnsi="游ゴシック" w:eastAsia="游ゴシック"/>
                <w:b/>
                <w:sz w:val="18"/>
              </w:rPr>
              <w:t>確認できた事実</w:t>
            </w:r>
          </w:p>
        </w:tc>
      </w:tr>
      <w:tr>
        <w:tc>
          <w:tcPr>
            <w:tcW w:type="dxa" w:w="2041"/>
          </w:tcPr>
          <w:p>
            <w:r/>
            <w:r>
              <w:rPr>
                <w:rFonts w:ascii="游ゴシック" w:hAnsi="游ゴシック" w:eastAsia="游ゴシック"/>
                <w:sz w:val="18"/>
              </w:rPr>
              <w:t>給付水準の高さの要因</w:t>
            </w:r>
          </w:p>
        </w:tc>
        <w:tc>
          <w:tcPr>
            <w:tcW w:type="dxa" w:w="7710"/>
          </w:tcPr>
          <w:p>
            <w:r/>
            <w:r>
              <w:rPr>
                <w:rFonts w:ascii="游ゴシック" w:hAnsi="游ゴシック" w:eastAsia="游ゴシック"/>
                <w:sz w:val="18"/>
              </w:rPr>
              <w:t>受給率（受給者÷第1号被保険者）は在宅が全国比1.02とほぼ同水準である一方、施設および居住系が全国比1.23と突出しています。年齢調整後の認定率は全国比1.02で全国並みです。給付水準の高さは認定率ではなく、施設・居住系の受給率と、訪問介護の利用強度に由来します。</w:t>
            </w:r>
          </w:p>
        </w:tc>
      </w:tr>
      <w:tr>
        <w:tc>
          <w:tcPr>
            <w:tcW w:type="dxa" w:w="2041"/>
          </w:tcPr>
          <w:p>
            <w:r/>
            <w:r>
              <w:rPr>
                <w:rFonts w:ascii="游ゴシック" w:hAnsi="游ゴシック" w:eastAsia="游ゴシック"/>
                <w:sz w:val="18"/>
              </w:rPr>
              <w:t>訪問介護の突出</w:t>
            </w:r>
          </w:p>
        </w:tc>
        <w:tc>
          <w:tcPr>
            <w:tcW w:type="dxa" w:w="7710"/>
          </w:tcPr>
          <w:p>
            <w:r/>
            <w:r>
              <w:rPr>
                <w:rFonts w:ascii="游ゴシック" w:hAnsi="游ゴシック" w:eastAsia="游ゴシック"/>
                <w:sz w:val="18"/>
              </w:rPr>
              <w:t>受給者1人あたり利用回数は令和7年度55.4回で全国29.7回の1.87倍、給付月額は133,685円で全国86,541円の1.54倍です。一方、通所介護の給付月額は62,688円で全国84,875円の0.74倍と低くなっています。</w:t>
            </w:r>
          </w:p>
        </w:tc>
      </w:tr>
      <w:tr>
        <w:tc>
          <w:tcPr>
            <w:tcW w:type="dxa" w:w="2041"/>
          </w:tcPr>
          <w:p>
            <w:r/>
            <w:r>
              <w:rPr>
                <w:rFonts w:ascii="游ゴシック" w:hAnsi="游ゴシック" w:eastAsia="游ゴシック"/>
                <w:sz w:val="18"/>
              </w:rPr>
              <w:t>供給の縮小</w:t>
            </w:r>
          </w:p>
        </w:tc>
        <w:tc>
          <w:tcPr>
            <w:tcW w:type="dxa" w:w="7710"/>
          </w:tcPr>
          <w:p>
            <w:r/>
            <w:r>
              <w:rPr>
                <w:rFonts w:ascii="游ゴシック" w:hAnsi="游ゴシック" w:eastAsia="游ゴシック"/>
                <w:sz w:val="18"/>
              </w:rPr>
              <w:t>要支援・要介護者1人あたりの施設定員は平成30年度0.288人から令和7年度0.237人へ17.7％減、うち介護老人福祉施設は34.9％減です。同時に要介護5の在宅・居住系割合は平成26年度31.3％から令和7年度54.6％へ上昇しています。</w:t>
            </w:r>
          </w:p>
        </w:tc>
      </w:tr>
      <w:tr>
        <w:tc>
          <w:tcPr>
            <w:tcW w:type="dxa" w:w="2041"/>
          </w:tcPr>
          <w:p>
            <w:r/>
            <w:r>
              <w:rPr>
                <w:rFonts w:ascii="游ゴシック" w:hAnsi="游ゴシック" w:eastAsia="游ゴシック"/>
                <w:sz w:val="18"/>
              </w:rPr>
              <w:t>保険料の設定</w:t>
            </w:r>
          </w:p>
        </w:tc>
        <w:tc>
          <w:tcPr>
            <w:tcW w:type="dxa" w:w="7710"/>
          </w:tcPr>
          <w:p>
            <w:r/>
            <w:r>
              <w:rPr>
                <w:rFonts w:ascii="游ゴシック" w:hAnsi="游ゴシック" w:eastAsia="游ゴシック"/>
                <w:sz w:val="18"/>
              </w:rPr>
              <w:t>必要保険料月額は令和6年度6,063円・令和7年度6,352円で、いずれも基準額6,400円を下回っており、2年で約42百万円（概算）の剰余が生じています。</w:t>
            </w:r>
          </w:p>
        </w:tc>
      </w:tr>
    </w:tbl>
    <w:p>
      <w:r>
        <w:br w:type="page"/>
      </w:r>
    </w:p>
    <w:p>
      <w:pPr>
        <w:spacing w:after="120" w:before="200"/>
      </w:pPr>
      <w:r>
        <w:rPr>
          <w:rFonts w:ascii="游ゴシック" w:hAnsi="游ゴシック" w:eastAsia="游ゴシック"/>
          <w:b/>
          <w:sz w:val="24"/>
        </w:rPr>
        <w:t>１　第1回委員会でご決定いただきたい事項（8件）</w:t>
      </w:r>
    </w:p>
    <w:p>
      <w:pPr>
        <w:spacing w:after="80"/>
      </w:pPr>
      <w:r>
        <w:rPr>
          <w:rFonts w:ascii="游ゴシック" w:hAnsi="游ゴシック" w:eastAsia="游ゴシック"/>
          <w:b w:val="0"/>
          <w:sz w:val="19"/>
        </w:rPr>
        <w:t>いずれも計画の構成・指標体系・圏域の根幹に関わるため、委員会でのご決定が必要と考えます。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(1) 事業所実態調査の取扱い　【最重要】</w:t>
      </w:r>
    </w:p>
    <w:p>
      <w:pPr>
        <w:spacing w:after="80"/>
      </w:pPr>
      <w:r>
        <w:rPr>
          <w:rFonts w:ascii="游ゴシック" w:hAnsi="游ゴシック" w:eastAsia="游ゴシック"/>
          <w:b w:val="0"/>
          <w:sz w:val="19"/>
        </w:rPr>
        <w:t>仕様書４（３）に「本業務において新たなアンケート調査の企画、設計、配布、回収、入力及び督促は行わない」と明記されており、委託費内訳書にも調査実施の費目がございません。一方、これまでの計画素案・委員会資料は事業所実態調査の実施を前提として組み立てております。</w:t>
      </w:r>
    </w:p>
    <w:p>
      <w:pPr>
        <w:spacing w:after="80"/>
      </w:pPr>
      <w:r>
        <w:rPr>
          <w:rFonts w:ascii="游ゴシック" w:hAnsi="游ゴシック" w:eastAsia="游ゴシック"/>
          <w:b w:val="0"/>
          <w:sz w:val="19"/>
        </w:rPr>
        <w:t>KPIのH12（必要サービス未充足率）・H13（職種別欠員率）・H14（採用者1年定着率）・H16（災害・感染症時の必須サービス継続率）は、いずれもこの調査をデータ源としています。</w:t>
      </w:r>
    </w:p>
    <w:p>
      <w:pPr>
        <w:spacing w:after="80"/>
      </w:pPr>
      <w:r>
        <w:rPr>
          <w:rFonts w:ascii="游ゴシック" w:hAnsi="游ゴシック" w:eastAsia="游ゴシック"/>
          <w:b w:val="0"/>
          <w:sz w:val="19"/>
        </w:rPr>
        <w:t>また検証の結果、介護サービス利用率が平成28年度82.2％から令和6年度74.3％へ低下し、令和6年度は認定者1,962人に対し受給者1,458人で504人が未利用となっております。この504人が需要の減少によるものか供給の制約によるものかの判別は第10期の中心論点であり、判別手段の確保が不可欠です。</w:t>
      </w:r>
    </w:p>
    <w:tbl>
      <w:tblPr>
        <w:tblStyle w:val="TableGrid"/>
        <w:tblW w:type="auto" w:w="0"/>
        <w:jc w:val="center"/>
        <w:tblLook w:firstColumn="1" w:firstRow="1" w:lastColumn="0" w:lastRow="0" w:noHBand="0" w:noVBand="1" w:val="04A0"/>
      </w:tblPr>
      <w:tblGrid>
        <w:gridCol w:w="3400"/>
        <w:gridCol w:w="3400"/>
        <w:gridCol w:w="3400"/>
      </w:tblGrid>
      <w:tr>
        <w:tc>
          <w:tcPr>
            <w:tcW w:type="dxa" w:w="680"/>
          </w:tcPr>
          <w:p>
            <w:r/>
            <w:r>
              <w:rPr>
                <w:rFonts w:ascii="游ゴシック" w:hAnsi="游ゴシック" w:eastAsia="游ゴシック"/>
                <w:b/>
                <w:sz w:val="18"/>
              </w:rPr>
              <w:t>案</w:t>
            </w:r>
          </w:p>
        </w:tc>
        <w:tc>
          <w:tcPr>
            <w:tcW w:type="dxa" w:w="4989"/>
          </w:tcPr>
          <w:p>
            <w:r/>
            <w:r>
              <w:rPr>
                <w:rFonts w:ascii="游ゴシック" w:hAnsi="游ゴシック" w:eastAsia="游ゴシック"/>
                <w:b/>
                <w:sz w:val="18"/>
              </w:rPr>
              <w:t>内容</w:t>
            </w:r>
          </w:p>
        </w:tc>
        <w:tc>
          <w:tcPr>
            <w:tcW w:type="dxa" w:w="3515"/>
          </w:tcPr>
          <w:p>
            <w:r/>
            <w:r>
              <w:rPr>
                <w:rFonts w:ascii="游ゴシック" w:hAnsi="游ゴシック" w:eastAsia="游ゴシック"/>
                <w:b/>
                <w:sz w:val="18"/>
              </w:rPr>
              <w:t>KPIへの影響</w:t>
            </w:r>
          </w:p>
        </w:tc>
      </w:tr>
      <w:tr>
        <w:tc>
          <w:tcPr>
            <w:tcW w:type="dxa" w:w="680"/>
          </w:tcPr>
          <w:p>
            <w:r/>
            <w:r>
              <w:rPr>
                <w:rFonts w:ascii="游ゴシック" w:hAnsi="游ゴシック" w:eastAsia="游ゴシック"/>
                <w:sz w:val="18"/>
              </w:rPr>
              <w:t>A</w:t>
            </w:r>
          </w:p>
        </w:tc>
        <w:tc>
          <w:tcPr>
            <w:tcW w:type="dxa" w:w="4989"/>
          </w:tcPr>
          <w:p>
            <w:r/>
            <w:r>
              <w:rPr>
                <w:rFonts w:ascii="游ゴシック" w:hAnsi="游ゴシック" w:eastAsia="游ゴシック"/>
                <w:sz w:val="18"/>
              </w:rPr>
              <w:t>既受領の介護人材実態調査（第9期実施・対象35事業所／回答27施設）の再分析で代替する</w:t>
            </w:r>
          </w:p>
        </w:tc>
        <w:tc>
          <w:tcPr>
            <w:tcW w:type="dxa" w:w="3515"/>
          </w:tcPr>
          <w:p>
            <w:r/>
            <w:r>
              <w:rPr>
                <w:rFonts w:ascii="游ゴシック" w:hAnsi="游ゴシック" w:eastAsia="游ゴシック"/>
                <w:sz w:val="18"/>
              </w:rPr>
              <w:t>H13・H14は取得可。H12・H16は代替指標が必要</w:t>
            </w:r>
          </w:p>
        </w:tc>
      </w:tr>
      <w:tr>
        <w:tc>
          <w:tcPr>
            <w:tcW w:type="dxa" w:w="680"/>
          </w:tcPr>
          <w:p>
            <w:r/>
            <w:r>
              <w:rPr>
                <w:rFonts w:ascii="游ゴシック" w:hAnsi="游ゴシック" w:eastAsia="游ゴシック"/>
                <w:sz w:val="18"/>
              </w:rPr>
              <w:t>B</w:t>
            </w:r>
          </w:p>
        </w:tc>
        <w:tc>
          <w:tcPr>
            <w:tcW w:type="dxa" w:w="4989"/>
          </w:tcPr>
          <w:p>
            <w:r/>
            <w:r>
              <w:rPr>
                <w:rFonts w:ascii="游ゴシック" w:hAnsi="游ゴシック" w:eastAsia="游ゴシック"/>
                <w:sz w:val="18"/>
              </w:rPr>
              <w:t>発注者が調査を実施し、受託者は設計支援・集計のみを担う（仕様変更又は別途協議）</w:t>
            </w:r>
          </w:p>
        </w:tc>
        <w:tc>
          <w:tcPr>
            <w:tcW w:type="dxa" w:w="3515"/>
          </w:tcPr>
          <w:p>
            <w:r/>
            <w:r>
              <w:rPr>
                <w:rFonts w:ascii="游ゴシック" w:hAnsi="游ゴシック" w:eastAsia="游ゴシック"/>
                <w:sz w:val="18"/>
              </w:rPr>
              <w:t>影響なし</w:t>
            </w:r>
          </w:p>
        </w:tc>
      </w:tr>
      <w:tr>
        <w:tc>
          <w:tcPr>
            <w:tcW w:type="dxa" w:w="680"/>
          </w:tcPr>
          <w:p>
            <w:r/>
            <w:r>
              <w:rPr>
                <w:rFonts w:ascii="游ゴシック" w:hAnsi="游ゴシック" w:eastAsia="游ゴシック"/>
                <w:sz w:val="18"/>
              </w:rPr>
              <w:t>C</w:t>
            </w:r>
          </w:p>
        </w:tc>
        <w:tc>
          <w:tcPr>
            <w:tcW w:type="dxa" w:w="4989"/>
          </w:tcPr>
          <w:p>
            <w:r/>
            <w:r>
              <w:rPr>
                <w:rFonts w:ascii="游ゴシック" w:hAnsi="游ゴシック" w:eastAsia="游ゴシック"/>
                <w:sz w:val="18"/>
              </w:rPr>
              <w:t>供給制約の検証を給付実績・指定台帳・ケアマネジャーへのヒアリング等に置き換える</w:t>
            </w:r>
          </w:p>
        </w:tc>
        <w:tc>
          <w:tcPr>
            <w:tcW w:type="dxa" w:w="3515"/>
          </w:tcPr>
          <w:p>
            <w:r/>
            <w:r>
              <w:rPr>
                <w:rFonts w:ascii="游ゴシック" w:hAnsi="游ゴシック" w:eastAsia="游ゴシック"/>
                <w:sz w:val="18"/>
              </w:rPr>
              <w:t>H12は代理指標へ変更</w:t>
            </w:r>
          </w:p>
        </w:tc>
      </w:tr>
    </w:tbl>
    <w:p>
      <w:pPr>
        <w:spacing w:after="80"/>
      </w:pPr>
      <w:r>
        <w:rPr>
          <w:rFonts w:ascii="游ゴシック" w:hAnsi="游ゴシック" w:eastAsia="游ゴシック"/>
          <w:b w:val="0"/>
          <w:sz w:val="19"/>
        </w:rPr>
        <w:t>→ ご希望の案：　□A案　□B案　□C案　□その他（　　　　　　　　　　　　）</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(2) H01「年齢調整済要介護認定率」の採用系列</w:t>
      </w:r>
    </w:p>
    <w:p>
      <w:pPr>
        <w:spacing w:after="80"/>
      </w:pPr>
      <w:r>
        <w:rPr>
          <w:rFonts w:ascii="游ゴシック" w:hAnsi="游ゴシック" w:eastAsia="游ゴシック"/>
          <w:b w:val="0"/>
          <w:sz w:val="19"/>
        </w:rPr>
        <w:t>見える化システムには調整済み認定率が2系列あり、これまで基準値としてきた18.4％は【注目する地域のみ】の系列で、北海道・全国と比較できません。</w:t>
      </w:r>
    </w:p>
    <w:tbl>
      <w:tblPr>
        <w:tblStyle w:val="TableGrid"/>
        <w:tblW w:type="auto" w:w="0"/>
        <w:jc w:val="center"/>
        <w:tblLook w:firstColumn="1" w:firstRow="1" w:lastColumn="0" w:lastRow="0" w:noHBand="0" w:noVBand="1" w:val="04A0"/>
      </w:tblPr>
      <w:tblGrid>
        <w:gridCol w:w="3400"/>
        <w:gridCol w:w="3400"/>
        <w:gridCol w:w="3400"/>
      </w:tblGrid>
      <w:tr>
        <w:tc>
          <w:tcPr>
            <w:tcW w:type="dxa" w:w="2835"/>
          </w:tcPr>
          <w:p>
            <w:r/>
            <w:r>
              <w:rPr>
                <w:rFonts w:ascii="游ゴシック" w:hAnsi="游ゴシック" w:eastAsia="游ゴシック"/>
                <w:b/>
                <w:sz w:val="18"/>
              </w:rPr>
              <w:t>系列</w:t>
            </w:r>
          </w:p>
        </w:tc>
        <w:tc>
          <w:tcPr>
            <w:tcW w:type="dxa" w:w="2268"/>
          </w:tcPr>
          <w:p>
            <w:r/>
            <w:r>
              <w:rPr>
                <w:rFonts w:ascii="游ゴシック" w:hAnsi="游ゴシック" w:eastAsia="游ゴシック"/>
                <w:b/>
                <w:sz w:val="18"/>
              </w:rPr>
              <w:t>令和7年3月末時点</w:t>
            </w:r>
          </w:p>
        </w:tc>
        <w:tc>
          <w:tcPr>
            <w:tcW w:type="dxa" w:w="4082"/>
          </w:tcPr>
          <w:p>
            <w:r/>
            <w:r>
              <w:rPr>
                <w:rFonts w:ascii="游ゴシック" w:hAnsi="游ゴシック" w:eastAsia="游ゴシック"/>
                <w:b/>
                <w:sz w:val="18"/>
              </w:rPr>
              <w:t>他地域との比較</w:t>
            </w:r>
          </w:p>
        </w:tc>
      </w:tr>
      <w:tr>
        <w:tc>
          <w:tcPr>
            <w:tcW w:type="dxa" w:w="2835"/>
          </w:tcPr>
          <w:p>
            <w:r/>
            <w:r>
              <w:rPr>
                <w:rFonts w:ascii="游ゴシック" w:hAnsi="游ゴシック" w:eastAsia="游ゴシック"/>
                <w:sz w:val="18"/>
              </w:rPr>
              <w:t>【注目する地域のみ】</w:t>
            </w:r>
          </w:p>
        </w:tc>
        <w:tc>
          <w:tcPr>
            <w:tcW w:type="dxa" w:w="2268"/>
          </w:tcPr>
          <w:p>
            <w:r/>
            <w:r>
              <w:rPr>
                <w:rFonts w:ascii="游ゴシック" w:hAnsi="游ゴシック" w:eastAsia="游ゴシック"/>
                <w:sz w:val="18"/>
              </w:rPr>
              <w:t>18.4％</w:t>
            </w:r>
          </w:p>
        </w:tc>
        <w:tc>
          <w:tcPr>
            <w:tcW w:type="dxa" w:w="4082"/>
          </w:tcPr>
          <w:p>
            <w:r/>
            <w:r>
              <w:rPr>
                <w:rFonts w:ascii="游ゴシック" w:hAnsi="游ゴシック" w:eastAsia="游ゴシック"/>
                <w:sz w:val="18"/>
              </w:rPr>
              <w:t>不可（圏域内の時系列・3町別のみ）</w:t>
            </w:r>
          </w:p>
        </w:tc>
      </w:tr>
      <w:tr>
        <w:tc>
          <w:tcPr>
            <w:tcW w:type="dxa" w:w="2835"/>
          </w:tcPr>
          <w:p>
            <w:r/>
            <w:r>
              <w:rPr>
                <w:rFonts w:ascii="游ゴシック" w:hAnsi="游ゴシック" w:eastAsia="游ゴシック"/>
                <w:sz w:val="18"/>
              </w:rPr>
              <w:t>【他地域と比較】</w:t>
            </w:r>
          </w:p>
        </w:tc>
        <w:tc>
          <w:tcPr>
            <w:tcW w:type="dxa" w:w="2268"/>
          </w:tcPr>
          <w:p>
            <w:r/>
            <w:r>
              <w:rPr>
                <w:rFonts w:ascii="游ゴシック" w:hAnsi="游ゴシック" w:eastAsia="游ゴシック"/>
                <w:sz w:val="18"/>
              </w:rPr>
              <w:t>16.7％</w:t>
            </w:r>
          </w:p>
        </w:tc>
        <w:tc>
          <w:tcPr>
            <w:tcW w:type="dxa" w:w="4082"/>
          </w:tcPr>
          <w:p>
            <w:r/>
            <w:r>
              <w:rPr>
                <w:rFonts w:ascii="游ゴシック" w:hAnsi="游ゴシック" w:eastAsia="游ゴシック"/>
                <w:sz w:val="18"/>
              </w:rPr>
              <w:t>可（北海道・全国と比較可能）</w:t>
            </w:r>
          </w:p>
        </w:tc>
      </w:tr>
    </w:tbl>
    <w:p>
      <w:pPr>
        <w:spacing w:after="80"/>
      </w:pPr>
      <w:r>
        <w:rPr>
          <w:rFonts w:ascii="游ゴシック" w:hAnsi="游ゴシック" w:eastAsia="游ゴシック"/>
          <w:b w:val="0"/>
          <w:sz w:val="19"/>
        </w:rPr>
        <w:t>KPI定義書の運用定義では「圏域、3町、北海道、全国」で集計することとしており、北海道・全国との比較を行う場合は【他地域と比較】系列16.7％の採用が整合的です。</w:t>
      </w:r>
    </w:p>
    <w:p>
      <w:pPr>
        <w:spacing w:after="80"/>
      </w:pPr>
      <w:r>
        <w:rPr>
          <w:rFonts w:ascii="游ゴシック" w:hAnsi="游ゴシック" w:eastAsia="游ゴシック"/>
          <w:b w:val="0"/>
          <w:sz w:val="19"/>
        </w:rPr>
        <w:t>なお基準時点も「令和7年度」ではなく「令和7年3月末時点（令和6年度末）」が正確です。</w:t>
      </w:r>
    </w:p>
    <w:p>
      <w:pPr>
        <w:spacing w:after="80"/>
      </w:pPr>
      <w:r>
        <w:rPr>
          <w:rFonts w:ascii="游ゴシック" w:hAnsi="游ゴシック" w:eastAsia="游ゴシック"/>
          <w:b w:val="0"/>
          <w:sz w:val="19"/>
        </w:rPr>
        <w:t>このたびW144（保険者機能強化推進交付金 評価指標Ⅳ-5）をご提供いただき、国が全保険者を共通の方法で算定した「性・年齢調整済み要介護2以上の認定率」が得られることが判明いたしました。第3の案としてご検討いただきたく存じます。</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515"/>
          </w:tcPr>
          <w:p>
            <w:r/>
            <w:r>
              <w:rPr>
                <w:rFonts w:ascii="游ゴシック" w:hAnsi="游ゴシック" w:eastAsia="游ゴシック"/>
                <w:b/>
                <w:sz w:val="18"/>
              </w:rPr>
              <w:t>系列</w:t>
            </w:r>
          </w:p>
        </w:tc>
        <w:tc>
          <w:tcPr>
            <w:tcW w:type="dxa" w:w="1134"/>
          </w:tcPr>
          <w:p>
            <w:r/>
            <w:r>
              <w:rPr>
                <w:rFonts w:ascii="游ゴシック" w:hAnsi="游ゴシック" w:eastAsia="游ゴシック"/>
                <w:b/>
                <w:sz w:val="18"/>
              </w:rPr>
              <w:t>大雪</w:t>
            </w:r>
          </w:p>
        </w:tc>
        <w:tc>
          <w:tcPr>
            <w:tcW w:type="dxa" w:w="1134"/>
          </w:tcPr>
          <w:p>
            <w:r/>
            <w:r>
              <w:rPr>
                <w:rFonts w:ascii="游ゴシック" w:hAnsi="游ゴシック" w:eastAsia="游ゴシック"/>
                <w:b/>
                <w:sz w:val="18"/>
              </w:rPr>
              <w:t>北海道</w:t>
            </w:r>
          </w:p>
        </w:tc>
        <w:tc>
          <w:tcPr>
            <w:tcW w:type="dxa" w:w="1134"/>
          </w:tcPr>
          <w:p>
            <w:r/>
            <w:r>
              <w:rPr>
                <w:rFonts w:ascii="游ゴシック" w:hAnsi="游ゴシック" w:eastAsia="游ゴシック"/>
                <w:b/>
                <w:sz w:val="18"/>
              </w:rPr>
              <w:t>全国</w:t>
            </w:r>
          </w:p>
        </w:tc>
        <w:tc>
          <w:tcPr>
            <w:tcW w:type="dxa" w:w="1134"/>
          </w:tcPr>
          <w:p>
            <w:r/>
            <w:r>
              <w:rPr>
                <w:rFonts w:ascii="游ゴシック" w:hAnsi="游ゴシック" w:eastAsia="游ゴシック"/>
                <w:b/>
                <w:sz w:val="18"/>
              </w:rPr>
              <w:t>他地域との比較</w:t>
            </w:r>
          </w:p>
        </w:tc>
        <w:tc>
          <w:tcPr>
            <w:tcW w:type="dxa" w:w="1701"/>
          </w:tcPr>
          <w:p>
            <w:r/>
            <w:r>
              <w:rPr>
                <w:rFonts w:ascii="游ゴシック" w:hAnsi="游ゴシック" w:eastAsia="游ゴシック"/>
                <w:b/>
                <w:sz w:val="18"/>
              </w:rPr>
              <w:t>更新頻度</w:t>
            </w:r>
          </w:p>
        </w:tc>
      </w:tr>
      <w:tr>
        <w:tc>
          <w:tcPr>
            <w:tcW w:type="dxa" w:w="3515"/>
          </w:tcPr>
          <w:p>
            <w:r/>
            <w:r>
              <w:rPr>
                <w:rFonts w:ascii="游ゴシック" w:hAnsi="游ゴシック" w:eastAsia="游ゴシック"/>
                <w:sz w:val="18"/>
              </w:rPr>
              <w:t>見える化B5-a【注目する地域のみ】</w:t>
            </w:r>
          </w:p>
        </w:tc>
        <w:tc>
          <w:tcPr>
            <w:tcW w:type="dxa" w:w="1134"/>
          </w:tcPr>
          <w:p>
            <w:r/>
            <w:r>
              <w:rPr>
                <w:rFonts w:ascii="游ゴシック" w:hAnsi="游ゴシック" w:eastAsia="游ゴシック"/>
                <w:sz w:val="18"/>
              </w:rPr>
              <w:t>18.4％</w:t>
            </w:r>
          </w:p>
        </w:tc>
        <w:tc>
          <w:tcPr>
            <w:tcW w:type="dxa" w:w="1134"/>
          </w:tcPr>
          <w:p>
            <w:r/>
            <w:r>
              <w:rPr>
                <w:rFonts w:ascii="游ゴシック" w:hAnsi="游ゴシック" w:eastAsia="游ゴシック"/>
                <w:sz w:val="18"/>
              </w:rPr>
              <w:t>―</w:t>
            </w:r>
          </w:p>
        </w:tc>
        <w:tc>
          <w:tcPr>
            <w:tcW w:type="dxa" w:w="1134"/>
          </w:tcPr>
          <w:p>
            <w:r/>
            <w:r>
              <w:rPr>
                <w:rFonts w:ascii="游ゴシック" w:hAnsi="游ゴシック" w:eastAsia="游ゴシック"/>
                <w:sz w:val="18"/>
              </w:rPr>
              <w:t>―</w:t>
            </w:r>
          </w:p>
        </w:tc>
        <w:tc>
          <w:tcPr>
            <w:tcW w:type="dxa" w:w="1134"/>
          </w:tcPr>
          <w:p>
            <w:r/>
            <w:r>
              <w:rPr>
                <w:rFonts w:ascii="游ゴシック" w:hAnsi="游ゴシック" w:eastAsia="游ゴシック"/>
                <w:sz w:val="18"/>
              </w:rPr>
              <w:t>不可</w:t>
            </w:r>
          </w:p>
        </w:tc>
        <w:tc>
          <w:tcPr>
            <w:tcW w:type="dxa" w:w="1701"/>
          </w:tcPr>
          <w:p>
            <w:r/>
            <w:r>
              <w:rPr>
                <w:rFonts w:ascii="游ゴシック" w:hAnsi="游ゴシック" w:eastAsia="游ゴシック"/>
                <w:sz w:val="18"/>
              </w:rPr>
              <w:t>随時</w:t>
            </w:r>
          </w:p>
        </w:tc>
      </w:tr>
      <w:tr>
        <w:tc>
          <w:tcPr>
            <w:tcW w:type="dxa" w:w="3515"/>
          </w:tcPr>
          <w:p>
            <w:r/>
            <w:r>
              <w:rPr>
                <w:rFonts w:ascii="游ゴシック" w:hAnsi="游ゴシック" w:eastAsia="游ゴシック"/>
                <w:sz w:val="18"/>
              </w:rPr>
              <w:t>見える化B5-a【他地域と比較】</w:t>
            </w:r>
          </w:p>
        </w:tc>
        <w:tc>
          <w:tcPr>
            <w:tcW w:type="dxa" w:w="1134"/>
          </w:tcPr>
          <w:p>
            <w:r/>
            <w:r>
              <w:rPr>
                <w:rFonts w:ascii="游ゴシック" w:hAnsi="游ゴシック" w:eastAsia="游ゴシック"/>
                <w:sz w:val="18"/>
              </w:rPr>
              <w:t>16.7％</w:t>
            </w:r>
          </w:p>
        </w:tc>
        <w:tc>
          <w:tcPr>
            <w:tcW w:type="dxa" w:w="1134"/>
          </w:tcPr>
          <w:p>
            <w:r/>
            <w:r>
              <w:rPr>
                <w:rFonts w:ascii="游ゴシック" w:hAnsi="游ゴシック" w:eastAsia="游ゴシック"/>
                <w:sz w:val="18"/>
              </w:rPr>
              <w:t>―</w:t>
            </w:r>
          </w:p>
        </w:tc>
        <w:tc>
          <w:tcPr>
            <w:tcW w:type="dxa" w:w="1134"/>
          </w:tcPr>
          <w:p>
            <w:r/>
            <w:r>
              <w:rPr>
                <w:rFonts w:ascii="游ゴシック" w:hAnsi="游ゴシック" w:eastAsia="游ゴシック"/>
                <w:sz w:val="18"/>
              </w:rPr>
              <w:t>―</w:t>
            </w:r>
          </w:p>
        </w:tc>
        <w:tc>
          <w:tcPr>
            <w:tcW w:type="dxa" w:w="1134"/>
          </w:tcPr>
          <w:p>
            <w:r/>
            <w:r>
              <w:rPr>
                <w:rFonts w:ascii="游ゴシック" w:hAnsi="游ゴシック" w:eastAsia="游ゴシック"/>
                <w:sz w:val="18"/>
              </w:rPr>
              <w:t>可</w:t>
            </w:r>
          </w:p>
        </w:tc>
        <w:tc>
          <w:tcPr>
            <w:tcW w:type="dxa" w:w="1701"/>
          </w:tcPr>
          <w:p>
            <w:r/>
            <w:r>
              <w:rPr>
                <w:rFonts w:ascii="游ゴシック" w:hAnsi="游ゴシック" w:eastAsia="游ゴシック"/>
                <w:sz w:val="18"/>
              </w:rPr>
              <w:t>随時</w:t>
            </w:r>
          </w:p>
        </w:tc>
      </w:tr>
      <w:tr>
        <w:tc>
          <w:tcPr>
            <w:tcW w:type="dxa" w:w="3515"/>
          </w:tcPr>
          <w:p>
            <w:r/>
            <w:r>
              <w:rPr>
                <w:rFonts w:ascii="游ゴシック" w:hAnsi="游ゴシック" w:eastAsia="游ゴシック"/>
                <w:sz w:val="18"/>
              </w:rPr>
              <w:t>見える化W144（性・年齢調整済み要介護2以上）</w:t>
            </w:r>
          </w:p>
        </w:tc>
        <w:tc>
          <w:tcPr>
            <w:tcW w:type="dxa" w:w="1134"/>
          </w:tcPr>
          <w:p>
            <w:r/>
            <w:r>
              <w:rPr>
                <w:rFonts w:ascii="游ゴシック" w:hAnsi="游ゴシック" w:eastAsia="游ゴシック"/>
                <w:sz w:val="18"/>
              </w:rPr>
              <w:t>9.25％</w:t>
            </w:r>
          </w:p>
        </w:tc>
        <w:tc>
          <w:tcPr>
            <w:tcW w:type="dxa" w:w="1134"/>
          </w:tcPr>
          <w:p>
            <w:r/>
            <w:r>
              <w:rPr>
                <w:rFonts w:ascii="游ゴシック" w:hAnsi="游ゴシック" w:eastAsia="游ゴシック"/>
                <w:sz w:val="18"/>
              </w:rPr>
              <w:t>8.59％</w:t>
            </w:r>
          </w:p>
        </w:tc>
        <w:tc>
          <w:tcPr>
            <w:tcW w:type="dxa" w:w="1134"/>
          </w:tcPr>
          <w:p>
            <w:r/>
            <w:r>
              <w:rPr>
                <w:rFonts w:ascii="游ゴシック" w:hAnsi="游ゴシック" w:eastAsia="游ゴシック"/>
                <w:sz w:val="18"/>
              </w:rPr>
              <w:t>8.99％</w:t>
            </w:r>
          </w:p>
        </w:tc>
        <w:tc>
          <w:tcPr>
            <w:tcW w:type="dxa" w:w="1134"/>
          </w:tcPr>
          <w:p>
            <w:r/>
            <w:r>
              <w:rPr>
                <w:rFonts w:ascii="游ゴシック" w:hAnsi="游ゴシック" w:eastAsia="游ゴシック"/>
                <w:sz w:val="18"/>
              </w:rPr>
              <w:t>可</w:t>
            </w:r>
          </w:p>
        </w:tc>
        <w:tc>
          <w:tcPr>
            <w:tcW w:type="dxa" w:w="1701"/>
          </w:tcPr>
          <w:p>
            <w:r/>
            <w:r>
              <w:rPr>
                <w:rFonts w:ascii="游ゴシック" w:hAnsi="游ゴシック" w:eastAsia="游ゴシック"/>
                <w:sz w:val="18"/>
              </w:rPr>
              <w:t>毎年（国が算定）</w:t>
            </w:r>
          </w:p>
        </w:tc>
      </w:tr>
    </w:tbl>
    <w:p>
      <w:pPr>
        <w:spacing w:after="80"/>
      </w:pPr>
      <w:r>
        <w:rPr>
          <w:rFonts w:ascii="游ゴシック" w:hAnsi="游ゴシック" w:eastAsia="游ゴシック"/>
          <w:b w:val="0"/>
          <w:sz w:val="19"/>
        </w:rPr>
        <w:t>W144は国が毎年算定・公表しており、全国・北海道と直接比較できるため、系列の選択問題が生じません。ただし対象が要介護2以上に限られる点にご留意ください。</w:t>
      </w:r>
    </w:p>
    <w:p>
      <w:pPr>
        <w:spacing w:after="80"/>
      </w:pPr>
      <w:r>
        <w:rPr>
          <w:rFonts w:ascii="游ゴシック" w:hAnsi="游ゴシック" w:eastAsia="游ゴシック"/>
          <w:b w:val="0"/>
          <w:sz w:val="19"/>
        </w:rPr>
        <w:t>なお、この指標でみると当広域連合は9.25％で全国8.99％を2.9％上回っており、変化率も全国▲0.37・北海道▲1.71が低下する中で当広域連合のみ＋1.76と上昇しております（W145）。他方、粗認定率では75歳以上が平成30年3月末35.3％から令和8年3月末33.5％へ低下しております。両者は矛盾せず、「軽度は改善したが中重度は悪化している」という構造を示すものと考えられます。したがって目標は「維持」ではなく「全国平均以下への低下」とすることが適当と考えます。</w:t>
      </w:r>
    </w:p>
    <w:p>
      <w:pPr>
        <w:spacing w:after="80"/>
      </w:pPr>
      <w:r>
        <w:rPr>
          <w:rFonts w:ascii="游ゴシック" w:hAnsi="游ゴシック" w:eastAsia="游ゴシック"/>
          <w:b w:val="0"/>
          <w:sz w:val="19"/>
        </w:rPr>
        <w:t>→ 採用系列：　□W144（性・年齢調整済み要介護2以上・推奨）　□【他地域と比較】16.7％　□【注目する地域のみ】18.4％（比較対象を圏域内に限定）</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(3) 人口統計の基準の統一</w:t>
      </w:r>
    </w:p>
    <w:p>
      <w:pPr>
        <w:spacing w:after="80"/>
      </w:pPr>
      <w:r>
        <w:rPr>
          <w:rFonts w:ascii="游ゴシック" w:hAnsi="游ゴシック" w:eastAsia="游ゴシック"/>
          <w:b w:val="0"/>
          <w:sz w:val="19"/>
        </w:rPr>
        <w:t>第9期計画の人口・高齢化率は住民基本台帳（各年10月1日）ですが、素案第6章の推計と見える化データは国勢調査＋社人研推計です。同じ令和5年でも次のとおり差が生じます。</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402"/>
          </w:tcPr>
          <w:p>
            <w:r/>
            <w:r>
              <w:rPr>
                <w:rFonts w:ascii="游ゴシック" w:hAnsi="游ゴシック" w:eastAsia="游ゴシック"/>
                <w:b/>
                <w:sz w:val="18"/>
              </w:rPr>
              <w:t>基準</w:t>
            </w:r>
          </w:p>
        </w:tc>
        <w:tc>
          <w:tcPr>
            <w:tcW w:type="dxa" w:w="1928"/>
          </w:tcPr>
          <w:p>
            <w:r/>
            <w:r>
              <w:rPr>
                <w:rFonts w:ascii="游ゴシック" w:hAnsi="游ゴシック" w:eastAsia="游ゴシック"/>
                <w:b/>
                <w:sz w:val="18"/>
              </w:rPr>
              <w:t>総人口</w:t>
            </w:r>
          </w:p>
        </w:tc>
        <w:tc>
          <w:tcPr>
            <w:tcW w:type="dxa" w:w="1928"/>
          </w:tcPr>
          <w:p>
            <w:r/>
            <w:r>
              <w:rPr>
                <w:rFonts w:ascii="游ゴシック" w:hAnsi="游ゴシック" w:eastAsia="游ゴシック"/>
                <w:b/>
                <w:sz w:val="18"/>
              </w:rPr>
              <w:t>65歳以上</w:t>
            </w:r>
          </w:p>
        </w:tc>
        <w:tc>
          <w:tcPr>
            <w:tcW w:type="dxa" w:w="1928"/>
          </w:tcPr>
          <w:p>
            <w:r/>
            <w:r>
              <w:rPr>
                <w:rFonts w:ascii="游ゴシック" w:hAnsi="游ゴシック" w:eastAsia="游ゴシック"/>
                <w:b/>
                <w:sz w:val="18"/>
              </w:rPr>
              <w:t>高齢化率</w:t>
            </w:r>
          </w:p>
        </w:tc>
      </w:tr>
      <w:tr>
        <w:tc>
          <w:tcPr>
            <w:tcW w:type="dxa" w:w="3402"/>
          </w:tcPr>
          <w:p>
            <w:r/>
            <w:r>
              <w:rPr>
                <w:rFonts w:ascii="游ゴシック" w:hAnsi="游ゴシック" w:eastAsia="游ゴシック"/>
                <w:sz w:val="18"/>
              </w:rPr>
              <w:t>住民基本台帳（第9期計画）</w:t>
            </w:r>
          </w:p>
        </w:tc>
        <w:tc>
          <w:tcPr>
            <w:tcW w:type="dxa" w:w="1928"/>
          </w:tcPr>
          <w:p>
            <w:r/>
            <w:r>
              <w:rPr>
                <w:rFonts w:ascii="游ゴシック" w:hAnsi="游ゴシック" w:eastAsia="游ゴシック"/>
                <w:sz w:val="18"/>
              </w:rPr>
              <w:t>27,887人</w:t>
            </w:r>
          </w:p>
        </w:tc>
        <w:tc>
          <w:tcPr>
            <w:tcW w:type="dxa" w:w="1928"/>
          </w:tcPr>
          <w:p>
            <w:r/>
            <w:r>
              <w:rPr>
                <w:rFonts w:ascii="游ゴシック" w:hAnsi="游ゴシック" w:eastAsia="游ゴシック"/>
                <w:sz w:val="18"/>
              </w:rPr>
              <w:t>9,191人</w:t>
            </w:r>
          </w:p>
        </w:tc>
        <w:tc>
          <w:tcPr>
            <w:tcW w:type="dxa" w:w="1928"/>
          </w:tcPr>
          <w:p>
            <w:r/>
            <w:r>
              <w:rPr>
                <w:rFonts w:ascii="游ゴシック" w:hAnsi="游ゴシック" w:eastAsia="游ゴシック"/>
                <w:sz w:val="18"/>
              </w:rPr>
              <w:t>33.0％</w:t>
            </w:r>
          </w:p>
        </w:tc>
      </w:tr>
      <w:tr>
        <w:tc>
          <w:tcPr>
            <w:tcW w:type="dxa" w:w="3402"/>
          </w:tcPr>
          <w:p>
            <w:r/>
            <w:r>
              <w:rPr>
                <w:rFonts w:ascii="游ゴシック" w:hAnsi="游ゴシック" w:eastAsia="游ゴシック"/>
                <w:sz w:val="18"/>
              </w:rPr>
              <w:t>国勢調査＋社人研（見える化）</w:t>
            </w:r>
          </w:p>
        </w:tc>
        <w:tc>
          <w:tcPr>
            <w:tcW w:type="dxa" w:w="1928"/>
          </w:tcPr>
          <w:p>
            <w:r/>
            <w:r>
              <w:rPr>
                <w:rFonts w:ascii="游ゴシック" w:hAnsi="游ゴシック" w:eastAsia="游ゴシック"/>
                <w:sz w:val="18"/>
              </w:rPr>
              <w:t>27,505人</w:t>
            </w:r>
          </w:p>
        </w:tc>
        <w:tc>
          <w:tcPr>
            <w:tcW w:type="dxa" w:w="1928"/>
          </w:tcPr>
          <w:p>
            <w:r/>
            <w:r>
              <w:rPr>
                <w:rFonts w:ascii="游ゴシック" w:hAnsi="游ゴシック" w:eastAsia="游ゴシック"/>
                <w:sz w:val="18"/>
              </w:rPr>
              <w:t>9,369人</w:t>
            </w:r>
          </w:p>
        </w:tc>
        <w:tc>
          <w:tcPr>
            <w:tcW w:type="dxa" w:w="1928"/>
          </w:tcPr>
          <w:p>
            <w:r/>
            <w:r>
              <w:rPr>
                <w:rFonts w:ascii="游ゴシック" w:hAnsi="游ゴシック" w:eastAsia="游ゴシック"/>
                <w:sz w:val="18"/>
              </w:rPr>
              <w:t>34.1％</w:t>
            </w:r>
          </w:p>
        </w:tc>
      </w:tr>
      <w:tr>
        <w:tc>
          <w:tcPr>
            <w:tcW w:type="dxa" w:w="3402"/>
          </w:tcPr>
          <w:p>
            <w:r/>
            <w:r>
              <w:rPr>
                <w:rFonts w:ascii="游ゴシック" w:hAnsi="游ゴシック" w:eastAsia="游ゴシック"/>
                <w:sz w:val="18"/>
              </w:rPr>
              <w:t>差</w:t>
            </w:r>
          </w:p>
        </w:tc>
        <w:tc>
          <w:tcPr>
            <w:tcW w:type="dxa" w:w="1928"/>
          </w:tcPr>
          <w:p>
            <w:r/>
            <w:r>
              <w:rPr>
                <w:rFonts w:ascii="游ゴシック" w:hAnsi="游ゴシック" w:eastAsia="游ゴシック"/>
                <w:sz w:val="18"/>
              </w:rPr>
              <w:t>▲382人</w:t>
            </w:r>
          </w:p>
        </w:tc>
        <w:tc>
          <w:tcPr>
            <w:tcW w:type="dxa" w:w="1928"/>
          </w:tcPr>
          <w:p>
            <w:r/>
            <w:r>
              <w:rPr>
                <w:rFonts w:ascii="游ゴシック" w:hAnsi="游ゴシック" w:eastAsia="游ゴシック"/>
                <w:sz w:val="18"/>
              </w:rPr>
              <w:t>＋178人</w:t>
            </w:r>
          </w:p>
        </w:tc>
        <w:tc>
          <w:tcPr>
            <w:tcW w:type="dxa" w:w="1928"/>
          </w:tcPr>
          <w:p>
            <w:r/>
            <w:r>
              <w:rPr>
                <w:rFonts w:ascii="游ゴシック" w:hAnsi="游ゴシック" w:eastAsia="游ゴシック"/>
                <w:sz w:val="18"/>
              </w:rPr>
              <w:t>＋1.1ポイント</w:t>
            </w:r>
          </w:p>
        </w:tc>
      </w:tr>
    </w:tbl>
    <w:p>
      <w:pPr>
        <w:spacing w:after="80"/>
      </w:pPr>
      <w:r>
        <w:rPr>
          <w:rFonts w:ascii="游ゴシック" w:hAnsi="游ゴシック" w:eastAsia="游ゴシック"/>
          <w:b w:val="0"/>
          <w:sz w:val="19"/>
        </w:rPr>
        <w:t>さらに検証の結果、第9期計画の将来推計は社人研推計から次のとおり乖離しており、特に東川町で乖離が拡大することが判明いたしました。</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835"/>
          </w:tcPr>
          <w:p>
            <w:r/>
            <w:r>
              <w:rPr>
                <w:rFonts w:ascii="游ゴシック" w:hAnsi="游ゴシック" w:eastAsia="游ゴシック"/>
                <w:b/>
                <w:sz w:val="18"/>
              </w:rPr>
              <w:t>区分</w:t>
            </w:r>
          </w:p>
        </w:tc>
        <w:tc>
          <w:tcPr>
            <w:tcW w:type="dxa" w:w="1701"/>
          </w:tcPr>
          <w:p>
            <w:r/>
            <w:r>
              <w:rPr>
                <w:rFonts w:ascii="游ゴシック" w:hAnsi="游ゴシック" w:eastAsia="游ゴシック"/>
                <w:b/>
                <w:sz w:val="18"/>
              </w:rPr>
              <w:t>令和8年</w:t>
            </w:r>
          </w:p>
        </w:tc>
        <w:tc>
          <w:tcPr>
            <w:tcW w:type="dxa" w:w="1701"/>
          </w:tcPr>
          <w:p>
            <w:r/>
            <w:r>
              <w:rPr>
                <w:rFonts w:ascii="游ゴシック" w:hAnsi="游ゴシック" w:eastAsia="游ゴシック"/>
                <w:b/>
                <w:sz w:val="18"/>
              </w:rPr>
              <w:t>令和12年</w:t>
            </w:r>
          </w:p>
        </w:tc>
        <w:tc>
          <w:tcPr>
            <w:tcW w:type="dxa" w:w="1701"/>
          </w:tcPr>
          <w:p>
            <w:r/>
            <w:r>
              <w:rPr>
                <w:rFonts w:ascii="游ゴシック" w:hAnsi="游ゴシック" w:eastAsia="游ゴシック"/>
                <w:b/>
                <w:sz w:val="18"/>
              </w:rPr>
              <w:t>令和22年</w:t>
            </w:r>
          </w:p>
        </w:tc>
        <w:tc>
          <w:tcPr>
            <w:tcW w:type="dxa" w:w="1701"/>
          </w:tcPr>
          <w:p>
            <w:r/>
            <w:r>
              <w:rPr>
                <w:rFonts w:ascii="游ゴシック" w:hAnsi="游ゴシック" w:eastAsia="游ゴシック"/>
                <w:b/>
                <w:sz w:val="18"/>
              </w:rPr>
              <w:t>令和32年</w:t>
            </w:r>
          </w:p>
        </w:tc>
      </w:tr>
      <w:tr>
        <w:tc>
          <w:tcPr>
            <w:tcW w:type="dxa" w:w="2835"/>
          </w:tcPr>
          <w:p>
            <w:r/>
            <w:r>
              <w:rPr>
                <w:rFonts w:ascii="游ゴシック" w:hAnsi="游ゴシック" w:eastAsia="游ゴシック"/>
                <w:sz w:val="18"/>
              </w:rPr>
              <w:t>広域計（計画／社人研）</w:t>
            </w:r>
          </w:p>
        </w:tc>
        <w:tc>
          <w:tcPr>
            <w:tcW w:type="dxa" w:w="1701"/>
          </w:tcPr>
          <w:p>
            <w:r/>
            <w:r>
              <w:rPr>
                <w:rFonts w:ascii="游ゴシック" w:hAnsi="游ゴシック" w:eastAsia="游ゴシック"/>
                <w:sz w:val="18"/>
              </w:rPr>
              <w:t>＋2.1％</w:t>
            </w:r>
          </w:p>
        </w:tc>
        <w:tc>
          <w:tcPr>
            <w:tcW w:type="dxa" w:w="1701"/>
          </w:tcPr>
          <w:p>
            <w:r/>
            <w:r>
              <w:rPr>
                <w:rFonts w:ascii="游ゴシック" w:hAnsi="游ゴシック" w:eastAsia="游ゴシック"/>
                <w:sz w:val="18"/>
              </w:rPr>
              <w:t>＋3.1％</w:t>
            </w:r>
          </w:p>
        </w:tc>
        <w:tc>
          <w:tcPr>
            <w:tcW w:type="dxa" w:w="1701"/>
          </w:tcPr>
          <w:p>
            <w:r/>
            <w:r>
              <w:rPr>
                <w:rFonts w:ascii="游ゴシック" w:hAnsi="游ゴシック" w:eastAsia="游ゴシック"/>
                <w:sz w:val="18"/>
              </w:rPr>
              <w:t>＋4.8％</w:t>
            </w:r>
          </w:p>
        </w:tc>
        <w:tc>
          <w:tcPr>
            <w:tcW w:type="dxa" w:w="1701"/>
          </w:tcPr>
          <w:p>
            <w:r/>
            <w:r>
              <w:rPr>
                <w:rFonts w:ascii="游ゴシック" w:hAnsi="游ゴシック" w:eastAsia="游ゴシック"/>
                <w:sz w:val="18"/>
              </w:rPr>
              <w:t>＋5.1％</w:t>
            </w:r>
          </w:p>
        </w:tc>
      </w:tr>
      <w:tr>
        <w:tc>
          <w:tcPr>
            <w:tcW w:type="dxa" w:w="2835"/>
          </w:tcPr>
          <w:p>
            <w:r/>
            <w:r>
              <w:rPr>
                <w:rFonts w:ascii="游ゴシック" w:hAnsi="游ゴシック" w:eastAsia="游ゴシック"/>
                <w:sz w:val="18"/>
              </w:rPr>
              <w:t>東川町</w:t>
            </w:r>
          </w:p>
        </w:tc>
        <w:tc>
          <w:tcPr>
            <w:tcW w:type="dxa" w:w="1701"/>
          </w:tcPr>
          <w:p>
            <w:r/>
            <w:r>
              <w:rPr>
                <w:rFonts w:ascii="游ゴシック" w:hAnsi="游ゴシック" w:eastAsia="游ゴシック"/>
                <w:sz w:val="18"/>
              </w:rPr>
              <w:t>＋6.9％</w:t>
            </w:r>
          </w:p>
        </w:tc>
        <w:tc>
          <w:tcPr>
            <w:tcW w:type="dxa" w:w="1701"/>
          </w:tcPr>
          <w:p>
            <w:r/>
            <w:r>
              <w:rPr>
                <w:rFonts w:ascii="游ゴシック" w:hAnsi="游ゴシック" w:eastAsia="游ゴシック"/>
                <w:sz w:val="18"/>
              </w:rPr>
              <w:t>＋10.7％</w:t>
            </w:r>
          </w:p>
        </w:tc>
        <w:tc>
          <w:tcPr>
            <w:tcW w:type="dxa" w:w="1701"/>
          </w:tcPr>
          <w:p>
            <w:r/>
            <w:r>
              <w:rPr>
                <w:rFonts w:ascii="游ゴシック" w:hAnsi="游ゴシック" w:eastAsia="游ゴシック"/>
                <w:sz w:val="18"/>
              </w:rPr>
              <w:t>＋18.5％</w:t>
            </w:r>
          </w:p>
        </w:tc>
        <w:tc>
          <w:tcPr>
            <w:tcW w:type="dxa" w:w="1701"/>
          </w:tcPr>
          <w:p>
            <w:r/>
            <w:r>
              <w:rPr>
                <w:rFonts w:ascii="游ゴシック" w:hAnsi="游ゴシック" w:eastAsia="游ゴシック"/>
                <w:sz w:val="18"/>
              </w:rPr>
              <w:t>＋21.5％</w:t>
            </w:r>
          </w:p>
        </w:tc>
      </w:tr>
      <w:tr>
        <w:tc>
          <w:tcPr>
            <w:tcW w:type="dxa" w:w="2835"/>
          </w:tcPr>
          <w:p>
            <w:r/>
            <w:r>
              <w:rPr>
                <w:rFonts w:ascii="游ゴシック" w:hAnsi="游ゴシック" w:eastAsia="游ゴシック"/>
                <w:sz w:val="18"/>
              </w:rPr>
              <w:t>美瑛町</w:t>
            </w:r>
          </w:p>
        </w:tc>
        <w:tc>
          <w:tcPr>
            <w:tcW w:type="dxa" w:w="1701"/>
          </w:tcPr>
          <w:p>
            <w:r/>
            <w:r>
              <w:rPr>
                <w:rFonts w:ascii="游ゴシック" w:hAnsi="游ゴシック" w:eastAsia="游ゴシック"/>
                <w:sz w:val="18"/>
              </w:rPr>
              <w:t>＋3.1％</w:t>
            </w:r>
          </w:p>
        </w:tc>
        <w:tc>
          <w:tcPr>
            <w:tcW w:type="dxa" w:w="1701"/>
          </w:tcPr>
          <w:p>
            <w:r/>
            <w:r>
              <w:rPr>
                <w:rFonts w:ascii="游ゴシック" w:hAnsi="游ゴシック" w:eastAsia="游ゴシック"/>
                <w:sz w:val="18"/>
              </w:rPr>
              <w:t>＋3.2％</w:t>
            </w:r>
          </w:p>
        </w:tc>
        <w:tc>
          <w:tcPr>
            <w:tcW w:type="dxa" w:w="1701"/>
          </w:tcPr>
          <w:p>
            <w:r/>
            <w:r>
              <w:rPr>
                <w:rFonts w:ascii="游ゴシック" w:hAnsi="游ゴシック" w:eastAsia="游ゴシック"/>
                <w:sz w:val="18"/>
              </w:rPr>
              <w:t>＋2.9％</w:t>
            </w:r>
          </w:p>
        </w:tc>
        <w:tc>
          <w:tcPr>
            <w:tcW w:type="dxa" w:w="1701"/>
          </w:tcPr>
          <w:p>
            <w:r/>
            <w:r>
              <w:rPr>
                <w:rFonts w:ascii="游ゴシック" w:hAnsi="游ゴシック" w:eastAsia="游ゴシック"/>
                <w:sz w:val="18"/>
              </w:rPr>
              <w:t>＋2.2％</w:t>
            </w:r>
          </w:p>
        </w:tc>
      </w:tr>
      <w:tr>
        <w:tc>
          <w:tcPr>
            <w:tcW w:type="dxa" w:w="2835"/>
          </w:tcPr>
          <w:p>
            <w:r/>
            <w:r>
              <w:rPr>
                <w:rFonts w:ascii="游ゴシック" w:hAnsi="游ゴシック" w:eastAsia="游ゴシック"/>
                <w:sz w:val="18"/>
              </w:rPr>
              <w:t>東神楽町</w:t>
            </w:r>
          </w:p>
        </w:tc>
        <w:tc>
          <w:tcPr>
            <w:tcW w:type="dxa" w:w="1701"/>
          </w:tcPr>
          <w:p>
            <w:r/>
            <w:r>
              <w:rPr>
                <w:rFonts w:ascii="游ゴシック" w:hAnsi="游ゴシック" w:eastAsia="游ゴシック"/>
                <w:sz w:val="18"/>
              </w:rPr>
              <w:t>▲2.7％</w:t>
            </w:r>
          </w:p>
        </w:tc>
        <w:tc>
          <w:tcPr>
            <w:tcW w:type="dxa" w:w="1701"/>
          </w:tcPr>
          <w:p>
            <w:r/>
            <w:r>
              <w:rPr>
                <w:rFonts w:ascii="游ゴシック" w:hAnsi="游ゴシック" w:eastAsia="游ゴシック"/>
                <w:sz w:val="18"/>
              </w:rPr>
              <w:t>▲3.3％</w:t>
            </w:r>
          </w:p>
        </w:tc>
        <w:tc>
          <w:tcPr>
            <w:tcW w:type="dxa" w:w="1701"/>
          </w:tcPr>
          <w:p>
            <w:r/>
            <w:r>
              <w:rPr>
                <w:rFonts w:ascii="游ゴシック" w:hAnsi="游ゴシック" w:eastAsia="游ゴシック"/>
                <w:sz w:val="18"/>
              </w:rPr>
              <w:t>▲5.2％</w:t>
            </w:r>
          </w:p>
        </w:tc>
        <w:tc>
          <w:tcPr>
            <w:tcW w:type="dxa" w:w="1701"/>
          </w:tcPr>
          <w:p>
            <w:r/>
            <w:r>
              <w:rPr>
                <w:rFonts w:ascii="游ゴシック" w:hAnsi="游ゴシック" w:eastAsia="游ゴシック"/>
                <w:sz w:val="18"/>
              </w:rPr>
              <w:t>▲7.0％</w:t>
            </w:r>
          </w:p>
        </w:tc>
      </w:tr>
    </w:tbl>
    <w:p>
      <w:pPr>
        <w:spacing w:after="80"/>
      </w:pPr>
      <w:r>
        <w:rPr>
          <w:rFonts w:ascii="游ゴシック" w:hAnsi="游ゴシック" w:eastAsia="游ゴシック"/>
          <w:b w:val="0"/>
          <w:sz w:val="19"/>
        </w:rPr>
        <w:t>第9期計画の本文は東川町について「下方修正した」と注記しておりますが、修正後もなお令和22年で1,409人（18.5％）の差がございます。第6章の推計と現状分析の基準を揃える観点から、国勢調査・社人研ベースへの統一を推奨いたします。</w:t>
      </w:r>
    </w:p>
    <w:p>
      <w:pPr>
        <w:spacing w:after="80"/>
      </w:pPr>
      <w:r>
        <w:rPr>
          <w:rFonts w:ascii="游ゴシック" w:hAnsi="游ゴシック" w:eastAsia="游ゴシック"/>
          <w:b w:val="0"/>
          <w:sz w:val="19"/>
        </w:rPr>
        <w:t>→ 採用基準：　□国勢調査・社人研（推奨）　□住民基本台帳　□両論併記</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(4) 第10期の基本目標の名称</w:t>
      </w:r>
    </w:p>
    <w:p>
      <w:pPr>
        <w:spacing w:after="80"/>
      </w:pPr>
      <w:r>
        <w:rPr>
          <w:rFonts w:ascii="游ゴシック" w:hAnsi="游ゴシック" w:eastAsia="游ゴシック"/>
          <w:b w:val="0"/>
          <w:sz w:val="19"/>
        </w:rPr>
        <w:t>素案では第4章に第10期の名称案、第5章に第9期の名称が併存しております。第9期からの継続評価を優先するか、第10期の重点を前面に出すかのご判断が必要です。</w:t>
      </w:r>
    </w:p>
    <w:tbl>
      <w:tblPr>
        <w:tblStyle w:val="TableGrid"/>
        <w:tblW w:type="auto" w:w="0"/>
        <w:jc w:val="center"/>
        <w:tblLook w:firstColumn="1" w:firstRow="1" w:lastColumn="0" w:lastRow="0" w:noHBand="0" w:noVBand="1" w:val="04A0"/>
      </w:tblPr>
      <w:tblGrid>
        <w:gridCol w:w="3400"/>
        <w:gridCol w:w="3400"/>
        <w:gridCol w:w="3400"/>
      </w:tblGrid>
      <w:tr>
        <w:tc>
          <w:tcPr>
            <w:tcW w:type="dxa" w:w="680"/>
          </w:tcPr>
          <w:p>
            <w:r/>
            <w:r>
              <w:rPr>
                <w:rFonts w:ascii="游ゴシック" w:hAnsi="游ゴシック" w:eastAsia="游ゴシック"/>
                <w:b/>
                <w:sz w:val="18"/>
              </w:rPr>
              <w:t>区分</w:t>
            </w:r>
          </w:p>
        </w:tc>
        <w:tc>
          <w:tcPr>
            <w:tcW w:type="dxa" w:w="4252"/>
          </w:tcPr>
          <w:p>
            <w:r/>
            <w:r>
              <w:rPr>
                <w:rFonts w:ascii="游ゴシック" w:hAnsi="游ゴシック" w:eastAsia="游ゴシック"/>
                <w:b/>
                <w:sz w:val="18"/>
              </w:rPr>
              <w:t>第9期の基本目標（継続案）</w:t>
            </w:r>
          </w:p>
        </w:tc>
        <w:tc>
          <w:tcPr>
            <w:tcW w:type="dxa" w:w="4252"/>
          </w:tcPr>
          <w:p>
            <w:r/>
            <w:r>
              <w:rPr>
                <w:rFonts w:ascii="游ゴシック" w:hAnsi="游ゴシック" w:eastAsia="游ゴシック"/>
                <w:b/>
                <w:sz w:val="18"/>
              </w:rPr>
              <w:t>第10期の基本目標（変更案）</w:t>
            </w:r>
          </w:p>
        </w:tc>
      </w:tr>
      <w:tr>
        <w:tc>
          <w:tcPr>
            <w:tcW w:type="dxa" w:w="680"/>
          </w:tcPr>
          <w:p>
            <w:r/>
            <w:r>
              <w:rPr>
                <w:rFonts w:ascii="游ゴシック" w:hAnsi="游ゴシック" w:eastAsia="游ゴシック"/>
                <w:sz w:val="18"/>
              </w:rPr>
              <w:t>1</w:t>
            </w:r>
          </w:p>
        </w:tc>
        <w:tc>
          <w:tcPr>
            <w:tcW w:type="dxa" w:w="4252"/>
          </w:tcPr>
          <w:p>
            <w:r/>
            <w:r>
              <w:rPr>
                <w:rFonts w:ascii="游ゴシック" w:hAnsi="游ゴシック" w:eastAsia="游ゴシック"/>
                <w:sz w:val="18"/>
              </w:rPr>
              <w:t>地域包括ケアシステムの深化・推進</w:t>
            </w:r>
          </w:p>
        </w:tc>
        <w:tc>
          <w:tcPr>
            <w:tcW w:type="dxa" w:w="4252"/>
          </w:tcPr>
          <w:p>
            <w:r/>
            <w:r>
              <w:rPr>
                <w:rFonts w:ascii="游ゴシック" w:hAnsi="游ゴシック" w:eastAsia="游ゴシック"/>
                <w:sz w:val="18"/>
              </w:rPr>
              <w:t>地域包括ケア・相談・医療介護連携</w:t>
            </w:r>
          </w:p>
        </w:tc>
      </w:tr>
      <w:tr>
        <w:tc>
          <w:tcPr>
            <w:tcW w:type="dxa" w:w="680"/>
          </w:tcPr>
          <w:p>
            <w:r/>
            <w:r>
              <w:rPr>
                <w:rFonts w:ascii="游ゴシック" w:hAnsi="游ゴシック" w:eastAsia="游ゴシック"/>
                <w:sz w:val="18"/>
              </w:rPr>
              <w:t>2</w:t>
            </w:r>
          </w:p>
        </w:tc>
        <w:tc>
          <w:tcPr>
            <w:tcW w:type="dxa" w:w="4252"/>
          </w:tcPr>
          <w:p>
            <w:r/>
            <w:r>
              <w:rPr>
                <w:rFonts w:ascii="游ゴシック" w:hAnsi="游ゴシック" w:eastAsia="游ゴシック"/>
                <w:sz w:val="18"/>
              </w:rPr>
              <w:t>地域包括ケアシステムを進める地域づくり</w:t>
            </w:r>
          </w:p>
        </w:tc>
        <w:tc>
          <w:tcPr>
            <w:tcW w:type="dxa" w:w="4252"/>
          </w:tcPr>
          <w:p>
            <w:r/>
            <w:r>
              <w:rPr>
                <w:rFonts w:ascii="游ゴシック" w:hAnsi="游ゴシック" w:eastAsia="游ゴシック"/>
                <w:sz w:val="18"/>
              </w:rPr>
              <w:t>介護予防・生活支援・認知症・家族支援</w:t>
            </w:r>
          </w:p>
        </w:tc>
      </w:tr>
      <w:tr>
        <w:tc>
          <w:tcPr>
            <w:tcW w:type="dxa" w:w="680"/>
          </w:tcPr>
          <w:p>
            <w:r/>
            <w:r>
              <w:rPr>
                <w:rFonts w:ascii="游ゴシック" w:hAnsi="游ゴシック" w:eastAsia="游ゴシック"/>
                <w:sz w:val="18"/>
              </w:rPr>
              <w:t>3</w:t>
            </w:r>
          </w:p>
        </w:tc>
        <w:tc>
          <w:tcPr>
            <w:tcW w:type="dxa" w:w="4252"/>
          </w:tcPr>
          <w:p>
            <w:r/>
            <w:r>
              <w:rPr>
                <w:rFonts w:ascii="游ゴシック" w:hAnsi="游ゴシック" w:eastAsia="游ゴシック"/>
                <w:sz w:val="18"/>
              </w:rPr>
              <w:t>自立支援、介護予防、重度化防止の推進</w:t>
            </w:r>
          </w:p>
        </w:tc>
        <w:tc>
          <w:tcPr>
            <w:tcW w:type="dxa" w:w="4252"/>
          </w:tcPr>
          <w:p>
            <w:r/>
            <w:r>
              <w:rPr>
                <w:rFonts w:ascii="游ゴシック" w:hAnsi="游ゴシック" w:eastAsia="游ゴシック"/>
                <w:sz w:val="18"/>
              </w:rPr>
              <w:t>持続可能なサービス提供・住まい</w:t>
            </w:r>
          </w:p>
        </w:tc>
      </w:tr>
      <w:tr>
        <w:tc>
          <w:tcPr>
            <w:tcW w:type="dxa" w:w="680"/>
          </w:tcPr>
          <w:p>
            <w:r/>
            <w:r>
              <w:rPr>
                <w:rFonts w:ascii="游ゴシック" w:hAnsi="游ゴシック" w:eastAsia="游ゴシック"/>
                <w:sz w:val="18"/>
              </w:rPr>
              <w:t>4</w:t>
            </w:r>
          </w:p>
        </w:tc>
        <w:tc>
          <w:tcPr>
            <w:tcW w:type="dxa" w:w="4252"/>
          </w:tcPr>
          <w:p>
            <w:r/>
            <w:r>
              <w:rPr>
                <w:rFonts w:ascii="游ゴシック" w:hAnsi="游ゴシック" w:eastAsia="游ゴシック"/>
                <w:sz w:val="18"/>
              </w:rPr>
              <w:t>サービス基盤、人的基盤の整備</w:t>
            </w:r>
          </w:p>
        </w:tc>
        <w:tc>
          <w:tcPr>
            <w:tcW w:type="dxa" w:w="4252"/>
          </w:tcPr>
          <w:p>
            <w:r/>
            <w:r>
              <w:rPr>
                <w:rFonts w:ascii="游ゴシック" w:hAnsi="游ゴシック" w:eastAsia="游ゴシック"/>
                <w:sz w:val="18"/>
              </w:rPr>
              <w:t>介護人材・生産性・質・経営支援</w:t>
            </w:r>
          </w:p>
        </w:tc>
      </w:tr>
      <w:tr>
        <w:tc>
          <w:tcPr>
            <w:tcW w:type="dxa" w:w="680"/>
          </w:tcPr>
          <w:p>
            <w:r/>
            <w:r>
              <w:rPr>
                <w:rFonts w:ascii="游ゴシック" w:hAnsi="游ゴシック" w:eastAsia="游ゴシック"/>
                <w:sz w:val="18"/>
              </w:rPr>
              <w:t>5</w:t>
            </w:r>
          </w:p>
        </w:tc>
        <w:tc>
          <w:tcPr>
            <w:tcW w:type="dxa" w:w="4252"/>
          </w:tcPr>
          <w:p>
            <w:r/>
            <w:r>
              <w:rPr>
                <w:rFonts w:ascii="游ゴシック" w:hAnsi="游ゴシック" w:eastAsia="游ゴシック"/>
                <w:sz w:val="18"/>
              </w:rPr>
              <w:t>災害や感染症対策に係る体制整備</w:t>
            </w:r>
          </w:p>
        </w:tc>
        <w:tc>
          <w:tcPr>
            <w:tcW w:type="dxa" w:w="4252"/>
          </w:tcPr>
          <w:p>
            <w:r/>
            <w:r>
              <w:rPr>
                <w:rFonts w:ascii="游ゴシック" w:hAnsi="游ゴシック" w:eastAsia="游ゴシック"/>
                <w:sz w:val="18"/>
              </w:rPr>
              <w:t>保険運営・レジリエンス・PDCA</w:t>
            </w:r>
          </w:p>
        </w:tc>
      </w:tr>
    </w:tbl>
    <w:p>
      <w:pPr>
        <w:spacing w:after="80"/>
      </w:pPr>
      <w:r>
        <w:rPr>
          <w:rFonts w:ascii="游ゴシック" w:hAnsi="游ゴシック" w:eastAsia="游ゴシック"/>
          <w:b w:val="0"/>
          <w:sz w:val="19"/>
        </w:rPr>
        <w:t>なお第9期計画は施策を3か所に掲載しており、それぞれ数が異なります（第4章第2節19施策、第4章第3節の体系図15施策、第5章本文18施策＋基本目標5）。第10期では体系図と本文の施策数を一致させます。</w:t>
      </w:r>
    </w:p>
    <w:p>
      <w:pPr>
        <w:spacing w:after="80"/>
      </w:pPr>
      <w:r>
        <w:rPr>
          <w:rFonts w:ascii="游ゴシック" w:hAnsi="游ゴシック" w:eastAsia="游ゴシック"/>
          <w:b w:val="0"/>
          <w:sz w:val="19"/>
        </w:rPr>
        <w:t>→ 採用：　□第9期名称を継続　□第10期名称案へ変更　□一部変更（　　　　　　　　　）</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(5) 日常生活圏域の設定　【新規】</w:t>
      </w:r>
    </w:p>
    <w:p>
      <w:pPr>
        <w:spacing w:after="80"/>
      </w:pPr>
      <w:r>
        <w:rPr>
          <w:rFonts w:ascii="游ゴシック" w:hAnsi="游ゴシック" w:eastAsia="游ゴシック"/>
          <w:b w:val="0"/>
          <w:sz w:val="19"/>
        </w:rPr>
        <w:t>第9期計画は6圏域（東川町1・美瑛町4・東神楽町1）を設定しておりますが、圏域間の人口規模に著しい偏りがございます。また3町の高齢者福祉計画には、いずれも圏域の記載がございません。</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402"/>
          </w:tcPr>
          <w:p>
            <w:r/>
            <w:r>
              <w:rPr>
                <w:rFonts w:ascii="游ゴシック" w:hAnsi="游ゴシック" w:eastAsia="游ゴシック"/>
                <w:b/>
                <w:sz w:val="18"/>
              </w:rPr>
              <w:t>圏域</w:t>
            </w:r>
          </w:p>
        </w:tc>
        <w:tc>
          <w:tcPr>
            <w:tcW w:type="dxa" w:w="1928"/>
          </w:tcPr>
          <w:p>
            <w:r/>
            <w:r>
              <w:rPr>
                <w:rFonts w:ascii="游ゴシック" w:hAnsi="游ゴシック" w:eastAsia="游ゴシック"/>
                <w:b/>
                <w:sz w:val="18"/>
              </w:rPr>
              <w:t>人口</w:t>
            </w:r>
          </w:p>
        </w:tc>
        <w:tc>
          <w:tcPr>
            <w:tcW w:type="dxa" w:w="1928"/>
          </w:tcPr>
          <w:p>
            <w:r/>
            <w:r>
              <w:rPr>
                <w:rFonts w:ascii="游ゴシック" w:hAnsi="游ゴシック" w:eastAsia="游ゴシック"/>
                <w:b/>
                <w:sz w:val="18"/>
              </w:rPr>
              <w:t>高齢者人口</w:t>
            </w:r>
          </w:p>
        </w:tc>
        <w:tc>
          <w:tcPr>
            <w:tcW w:type="dxa" w:w="1928"/>
          </w:tcPr>
          <w:p>
            <w:r/>
            <w:r>
              <w:rPr>
                <w:rFonts w:ascii="游ゴシック" w:hAnsi="游ゴシック" w:eastAsia="游ゴシック"/>
                <w:b/>
                <w:sz w:val="18"/>
              </w:rPr>
              <w:t>高齢化率</w:t>
            </w:r>
          </w:p>
        </w:tc>
      </w:tr>
      <w:tr>
        <w:tc>
          <w:tcPr>
            <w:tcW w:type="dxa" w:w="3402"/>
          </w:tcPr>
          <w:p>
            <w:r/>
            <w:r>
              <w:rPr>
                <w:rFonts w:ascii="游ゴシック" w:hAnsi="游ゴシック" w:eastAsia="游ゴシック"/>
                <w:sz w:val="18"/>
              </w:rPr>
              <w:t>東川町</w:t>
            </w:r>
          </w:p>
        </w:tc>
        <w:tc>
          <w:tcPr>
            <w:tcW w:type="dxa" w:w="1928"/>
          </w:tcPr>
          <w:p>
            <w:r/>
            <w:r>
              <w:rPr>
                <w:rFonts w:ascii="游ゴシック" w:hAnsi="游ゴシック" w:eastAsia="游ゴシック"/>
                <w:sz w:val="18"/>
              </w:rPr>
              <w:t>8,558人</w:t>
            </w:r>
          </w:p>
        </w:tc>
        <w:tc>
          <w:tcPr>
            <w:tcW w:type="dxa" w:w="1928"/>
          </w:tcPr>
          <w:p>
            <w:r/>
            <w:r>
              <w:rPr>
                <w:rFonts w:ascii="游ゴシック" w:hAnsi="游ゴシック" w:eastAsia="游ゴシック"/>
                <w:sz w:val="18"/>
              </w:rPr>
              <w:t>2,683人</w:t>
            </w:r>
          </w:p>
        </w:tc>
        <w:tc>
          <w:tcPr>
            <w:tcW w:type="dxa" w:w="1928"/>
          </w:tcPr>
          <w:p>
            <w:r/>
            <w:r>
              <w:rPr>
                <w:rFonts w:ascii="游ゴシック" w:hAnsi="游ゴシック" w:eastAsia="游ゴシック"/>
                <w:sz w:val="18"/>
              </w:rPr>
              <w:t>31.4％</w:t>
            </w:r>
          </w:p>
        </w:tc>
      </w:tr>
      <w:tr>
        <w:tc>
          <w:tcPr>
            <w:tcW w:type="dxa" w:w="3402"/>
          </w:tcPr>
          <w:p>
            <w:r/>
            <w:r>
              <w:rPr>
                <w:rFonts w:ascii="游ゴシック" w:hAnsi="游ゴシック" w:eastAsia="游ゴシック"/>
                <w:sz w:val="18"/>
              </w:rPr>
              <w:t>美瑛町　旭・北西地区</w:t>
            </w:r>
          </w:p>
        </w:tc>
        <w:tc>
          <w:tcPr>
            <w:tcW w:type="dxa" w:w="1928"/>
          </w:tcPr>
          <w:p>
            <w:r/>
            <w:r>
              <w:rPr>
                <w:rFonts w:ascii="游ゴシック" w:hAnsi="游ゴシック" w:eastAsia="游ゴシック"/>
                <w:sz w:val="18"/>
              </w:rPr>
              <w:t>684人</w:t>
            </w:r>
          </w:p>
        </w:tc>
        <w:tc>
          <w:tcPr>
            <w:tcW w:type="dxa" w:w="1928"/>
          </w:tcPr>
          <w:p>
            <w:r/>
            <w:r>
              <w:rPr>
                <w:rFonts w:ascii="游ゴシック" w:hAnsi="游ゴシック" w:eastAsia="游ゴシック"/>
                <w:sz w:val="18"/>
              </w:rPr>
              <w:t>308人</w:t>
            </w:r>
          </w:p>
        </w:tc>
        <w:tc>
          <w:tcPr>
            <w:tcW w:type="dxa" w:w="1928"/>
          </w:tcPr>
          <w:p>
            <w:r/>
            <w:r>
              <w:rPr>
                <w:rFonts w:ascii="游ゴシック" w:hAnsi="游ゴシック" w:eastAsia="游ゴシック"/>
                <w:sz w:val="18"/>
              </w:rPr>
              <w:t>45.0％</w:t>
            </w:r>
          </w:p>
        </w:tc>
      </w:tr>
      <w:tr>
        <w:tc>
          <w:tcPr>
            <w:tcW w:type="dxa" w:w="3402"/>
          </w:tcPr>
          <w:p>
            <w:r/>
            <w:r>
              <w:rPr>
                <w:rFonts w:ascii="游ゴシック" w:hAnsi="游ゴシック" w:eastAsia="游ゴシック"/>
                <w:sz w:val="18"/>
              </w:rPr>
              <w:t>美瑛町　美馬牛地区</w:t>
            </w:r>
          </w:p>
        </w:tc>
        <w:tc>
          <w:tcPr>
            <w:tcW w:type="dxa" w:w="1928"/>
          </w:tcPr>
          <w:p>
            <w:r/>
            <w:r>
              <w:rPr>
                <w:rFonts w:ascii="游ゴシック" w:hAnsi="游ゴシック" w:eastAsia="游ゴシック"/>
                <w:sz w:val="18"/>
              </w:rPr>
              <w:t>689人</w:t>
            </w:r>
          </w:p>
        </w:tc>
        <w:tc>
          <w:tcPr>
            <w:tcW w:type="dxa" w:w="1928"/>
          </w:tcPr>
          <w:p>
            <w:r/>
            <w:r>
              <w:rPr>
                <w:rFonts w:ascii="游ゴシック" w:hAnsi="游ゴシック" w:eastAsia="游ゴシック"/>
                <w:sz w:val="18"/>
              </w:rPr>
              <w:t>288人</w:t>
            </w:r>
          </w:p>
        </w:tc>
        <w:tc>
          <w:tcPr>
            <w:tcW w:type="dxa" w:w="1928"/>
          </w:tcPr>
          <w:p>
            <w:r/>
            <w:r>
              <w:rPr>
                <w:rFonts w:ascii="游ゴシック" w:hAnsi="游ゴシック" w:eastAsia="游ゴシック"/>
                <w:sz w:val="18"/>
              </w:rPr>
              <w:t>41.8％</w:t>
            </w:r>
          </w:p>
        </w:tc>
      </w:tr>
      <w:tr>
        <w:tc>
          <w:tcPr>
            <w:tcW w:type="dxa" w:w="3402"/>
          </w:tcPr>
          <w:p>
            <w:r/>
            <w:r>
              <w:rPr>
                <w:rFonts w:ascii="游ゴシック" w:hAnsi="游ゴシック" w:eastAsia="游ゴシック"/>
                <w:sz w:val="18"/>
              </w:rPr>
              <w:t>美瑛町　朗根内地区</w:t>
            </w:r>
          </w:p>
        </w:tc>
        <w:tc>
          <w:tcPr>
            <w:tcW w:type="dxa" w:w="1928"/>
          </w:tcPr>
          <w:p>
            <w:r/>
            <w:r>
              <w:rPr>
                <w:rFonts w:ascii="游ゴシック" w:hAnsi="游ゴシック" w:eastAsia="游ゴシック"/>
                <w:sz w:val="18"/>
              </w:rPr>
              <w:t>233人</w:t>
            </w:r>
          </w:p>
        </w:tc>
        <w:tc>
          <w:tcPr>
            <w:tcW w:type="dxa" w:w="1928"/>
          </w:tcPr>
          <w:p>
            <w:r/>
            <w:r>
              <w:rPr>
                <w:rFonts w:ascii="游ゴシック" w:hAnsi="游ゴシック" w:eastAsia="游ゴシック"/>
                <w:sz w:val="18"/>
              </w:rPr>
              <w:t>82人</w:t>
            </w:r>
          </w:p>
        </w:tc>
        <w:tc>
          <w:tcPr>
            <w:tcW w:type="dxa" w:w="1928"/>
          </w:tcPr>
          <w:p>
            <w:r/>
            <w:r>
              <w:rPr>
                <w:rFonts w:ascii="游ゴシック" w:hAnsi="游ゴシック" w:eastAsia="游ゴシック"/>
                <w:sz w:val="18"/>
              </w:rPr>
              <w:t>35.2％</w:t>
            </w:r>
          </w:p>
        </w:tc>
      </w:tr>
      <w:tr>
        <w:tc>
          <w:tcPr>
            <w:tcW w:type="dxa" w:w="3402"/>
          </w:tcPr>
          <w:p>
            <w:r/>
            <w:r>
              <w:rPr>
                <w:rFonts w:ascii="游ゴシック" w:hAnsi="游ゴシック" w:eastAsia="游ゴシック"/>
                <w:sz w:val="18"/>
              </w:rPr>
              <w:t>美瑛町　市街地・周辺地区</w:t>
            </w:r>
          </w:p>
        </w:tc>
        <w:tc>
          <w:tcPr>
            <w:tcW w:type="dxa" w:w="1928"/>
          </w:tcPr>
          <w:p>
            <w:r/>
            <w:r>
              <w:rPr>
                <w:rFonts w:ascii="游ゴシック" w:hAnsi="游ゴシック" w:eastAsia="游ゴシック"/>
                <w:sz w:val="18"/>
              </w:rPr>
              <w:t>7,869人</w:t>
            </w:r>
          </w:p>
        </w:tc>
        <w:tc>
          <w:tcPr>
            <w:tcW w:type="dxa" w:w="1928"/>
          </w:tcPr>
          <w:p>
            <w:r/>
            <w:r>
              <w:rPr>
                <w:rFonts w:ascii="游ゴシック" w:hAnsi="游ゴシック" w:eastAsia="游ゴシック"/>
                <w:sz w:val="18"/>
              </w:rPr>
              <w:t>2,997人</w:t>
            </w:r>
          </w:p>
        </w:tc>
        <w:tc>
          <w:tcPr>
            <w:tcW w:type="dxa" w:w="1928"/>
          </w:tcPr>
          <w:p>
            <w:r/>
            <w:r>
              <w:rPr>
                <w:rFonts w:ascii="游ゴシック" w:hAnsi="游ゴシック" w:eastAsia="游ゴシック"/>
                <w:sz w:val="18"/>
              </w:rPr>
              <w:t>38.1％</w:t>
            </w:r>
          </w:p>
        </w:tc>
      </w:tr>
      <w:tr>
        <w:tc>
          <w:tcPr>
            <w:tcW w:type="dxa" w:w="3402"/>
          </w:tcPr>
          <w:p>
            <w:r/>
            <w:r>
              <w:rPr>
                <w:rFonts w:ascii="游ゴシック" w:hAnsi="游ゴシック" w:eastAsia="游ゴシック"/>
                <w:sz w:val="18"/>
              </w:rPr>
              <w:t>東神楽町</w:t>
            </w:r>
          </w:p>
        </w:tc>
        <w:tc>
          <w:tcPr>
            <w:tcW w:type="dxa" w:w="1928"/>
          </w:tcPr>
          <w:p>
            <w:r/>
            <w:r>
              <w:rPr>
                <w:rFonts w:ascii="游ゴシック" w:hAnsi="游ゴシック" w:eastAsia="游ゴシック"/>
                <w:sz w:val="18"/>
              </w:rPr>
              <w:t>9,854人</w:t>
            </w:r>
          </w:p>
        </w:tc>
        <w:tc>
          <w:tcPr>
            <w:tcW w:type="dxa" w:w="1928"/>
          </w:tcPr>
          <w:p>
            <w:r/>
            <w:r>
              <w:rPr>
                <w:rFonts w:ascii="游ゴシック" w:hAnsi="游ゴシック" w:eastAsia="游ゴシック"/>
                <w:sz w:val="18"/>
              </w:rPr>
              <w:t>2,833人</w:t>
            </w:r>
          </w:p>
        </w:tc>
        <w:tc>
          <w:tcPr>
            <w:tcW w:type="dxa" w:w="1928"/>
          </w:tcPr>
          <w:p>
            <w:r/>
            <w:r>
              <w:rPr>
                <w:rFonts w:ascii="游ゴシック" w:hAnsi="游ゴシック" w:eastAsia="游ゴシック"/>
                <w:sz w:val="18"/>
              </w:rPr>
              <w:t>28.8％</w:t>
            </w:r>
          </w:p>
        </w:tc>
      </w:tr>
    </w:tbl>
    <w:p>
      <w:pPr>
        <w:spacing w:after="80"/>
      </w:pPr>
      <w:r>
        <w:rPr>
          <w:rFonts w:ascii="游ゴシック" w:hAnsi="游ゴシック" w:eastAsia="游ゴシック"/>
          <w:b w:val="0"/>
          <w:sz w:val="19"/>
        </w:rPr>
        <w:t>最小の朗根内地区233人と最大の東神楽町9,854人で42.3倍、美瑛町内でも33.8倍の開きがあり、233人の圏域に独立したサービス基盤を割り当てることは現実的ではありません。統計・分析の単位としての圏域と、基盤整備の単位としての圏域を分ける整理を提案いたします。</w:t>
      </w:r>
    </w:p>
    <w:p>
      <w:pPr>
        <w:spacing w:after="80"/>
      </w:pPr>
      <w:r>
        <w:rPr>
          <w:rFonts w:ascii="游ゴシック" w:hAnsi="游ゴシック" w:eastAsia="游ゴシック"/>
          <w:b w:val="0"/>
          <w:sz w:val="19"/>
        </w:rPr>
        <w:t>→ 第10期の圏域：　□6圏域を維持　□統計単位と整備単位を分ける（推奨）　□圏域数を見直す（　　　圏域）</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(6) 3町の高齢者福祉計画との共通指標の合意　【新規】</w:t>
      </w:r>
    </w:p>
    <w:p>
      <w:pPr>
        <w:spacing w:after="80"/>
      </w:pPr>
      <w:r>
        <w:rPr>
          <w:rFonts w:ascii="游ゴシック" w:hAnsi="游ゴシック" w:eastAsia="游ゴシック"/>
          <w:b w:val="0"/>
          <w:sz w:val="19"/>
        </w:rPr>
        <w:t>3町の第9期高齢者福祉計画を精査したところ、いずれにも数値目標が設定されておりませんでした。広域連合が代表KPIを設定しても、達成手段を担う3町の計画に目標がないため、町段階でのPDCAが機能しない構造となっております。</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494"/>
          </w:tcPr>
          <w:p>
            <w:r/>
            <w:r>
              <w:rPr>
                <w:rFonts w:ascii="游ゴシック" w:hAnsi="游ゴシック" w:eastAsia="游ゴシック"/>
                <w:b/>
                <w:sz w:val="18"/>
              </w:rPr>
              <w:t>確認項目</w:t>
            </w:r>
          </w:p>
        </w:tc>
        <w:tc>
          <w:tcPr>
            <w:tcW w:type="dxa" w:w="1928"/>
          </w:tcPr>
          <w:p>
            <w:r/>
            <w:r>
              <w:rPr>
                <w:rFonts w:ascii="游ゴシック" w:hAnsi="游ゴシック" w:eastAsia="游ゴシック"/>
                <w:b/>
                <w:sz w:val="18"/>
              </w:rPr>
              <w:t>広域連合</w:t>
            </w:r>
          </w:p>
        </w:tc>
        <w:tc>
          <w:tcPr>
            <w:tcW w:type="dxa" w:w="1928"/>
          </w:tcPr>
          <w:p>
            <w:r/>
            <w:r>
              <w:rPr>
                <w:rFonts w:ascii="游ゴシック" w:hAnsi="游ゴシック" w:eastAsia="游ゴシック"/>
                <w:b/>
                <w:sz w:val="18"/>
              </w:rPr>
              <w:t>東川町</w:t>
            </w:r>
          </w:p>
        </w:tc>
        <w:tc>
          <w:tcPr>
            <w:tcW w:type="dxa" w:w="1701"/>
          </w:tcPr>
          <w:p>
            <w:r/>
            <w:r>
              <w:rPr>
                <w:rFonts w:ascii="游ゴシック" w:hAnsi="游ゴシック" w:eastAsia="游ゴシック"/>
                <w:b/>
                <w:sz w:val="18"/>
              </w:rPr>
              <w:t>美瑛町</w:t>
            </w:r>
          </w:p>
        </w:tc>
        <w:tc>
          <w:tcPr>
            <w:tcW w:type="dxa" w:w="1701"/>
          </w:tcPr>
          <w:p>
            <w:r/>
            <w:r>
              <w:rPr>
                <w:rFonts w:ascii="游ゴシック" w:hAnsi="游ゴシック" w:eastAsia="游ゴシック"/>
                <w:b/>
                <w:sz w:val="18"/>
              </w:rPr>
              <w:t>東神楽町</w:t>
            </w:r>
          </w:p>
        </w:tc>
      </w:tr>
      <w:tr>
        <w:tc>
          <w:tcPr>
            <w:tcW w:type="dxa" w:w="2494"/>
          </w:tcPr>
          <w:p>
            <w:r/>
            <w:r>
              <w:rPr>
                <w:rFonts w:ascii="游ゴシック" w:hAnsi="游ゴシック" w:eastAsia="游ゴシック"/>
                <w:sz w:val="18"/>
              </w:rPr>
              <w:t>数値目標の設定</w:t>
            </w:r>
          </w:p>
        </w:tc>
        <w:tc>
          <w:tcPr>
            <w:tcW w:type="dxa" w:w="1928"/>
          </w:tcPr>
          <w:p>
            <w:r/>
            <w:r>
              <w:rPr>
                <w:rFonts w:ascii="游ゴシック" w:hAnsi="游ゴシック" w:eastAsia="游ゴシック"/>
                <w:sz w:val="18"/>
              </w:rPr>
              <w:t>代表KPI4項目</w:t>
            </w:r>
          </w:p>
        </w:tc>
        <w:tc>
          <w:tcPr>
            <w:tcW w:type="dxa" w:w="1928"/>
          </w:tcPr>
          <w:p>
            <w:r/>
            <w:r>
              <w:rPr>
                <w:rFonts w:ascii="游ゴシック" w:hAnsi="游ゴシック" w:eastAsia="游ゴシック"/>
                <w:sz w:val="18"/>
              </w:rPr>
              <w:t>なし</w:t>
            </w:r>
          </w:p>
        </w:tc>
        <w:tc>
          <w:tcPr>
            <w:tcW w:type="dxa" w:w="1701"/>
          </w:tcPr>
          <w:p>
            <w:r/>
            <w:r>
              <w:rPr>
                <w:rFonts w:ascii="游ゴシック" w:hAnsi="游ゴシック" w:eastAsia="游ゴシック"/>
                <w:sz w:val="18"/>
              </w:rPr>
              <w:t>なし</w:t>
            </w:r>
          </w:p>
        </w:tc>
        <w:tc>
          <w:tcPr>
            <w:tcW w:type="dxa" w:w="1701"/>
          </w:tcPr>
          <w:p>
            <w:r/>
            <w:r>
              <w:rPr>
                <w:rFonts w:ascii="游ゴシック" w:hAnsi="游ゴシック" w:eastAsia="游ゴシック"/>
                <w:sz w:val="18"/>
              </w:rPr>
              <w:t>なし</w:t>
            </w:r>
          </w:p>
        </w:tc>
      </w:tr>
      <w:tr>
        <w:tc>
          <w:tcPr>
            <w:tcW w:type="dxa" w:w="2494"/>
          </w:tcPr>
          <w:p>
            <w:r/>
            <w:r>
              <w:rPr>
                <w:rFonts w:ascii="游ゴシック" w:hAnsi="游ゴシック" w:eastAsia="游ゴシック"/>
                <w:sz w:val="18"/>
              </w:rPr>
              <w:t>広域KPIの検証への参画の明記</w:t>
            </w:r>
          </w:p>
        </w:tc>
        <w:tc>
          <w:tcPr>
            <w:tcW w:type="dxa" w:w="1928"/>
          </w:tcPr>
          <w:p>
            <w:r/>
            <w:r>
              <w:rPr>
                <w:rFonts w:ascii="游ゴシック" w:hAnsi="游ゴシック" w:eastAsia="游ゴシック"/>
                <w:sz w:val="18"/>
              </w:rPr>
              <w:t>年1回以上の点検を規定</w:t>
            </w:r>
          </w:p>
        </w:tc>
        <w:tc>
          <w:tcPr>
            <w:tcW w:type="dxa" w:w="1928"/>
          </w:tcPr>
          <w:p>
            <w:r/>
            <w:r>
              <w:rPr>
                <w:rFonts w:ascii="游ゴシック" w:hAnsi="游ゴシック" w:eastAsia="游ゴシック"/>
                <w:sz w:val="18"/>
              </w:rPr>
              <w:t>あり（一般介護予防事業評価事業）</w:t>
            </w:r>
          </w:p>
        </w:tc>
        <w:tc>
          <w:tcPr>
            <w:tcW w:type="dxa" w:w="1701"/>
          </w:tcPr>
          <w:p>
            <w:r/>
            <w:r>
              <w:rPr>
                <w:rFonts w:ascii="游ゴシック" w:hAnsi="游ゴシック" w:eastAsia="游ゴシック"/>
                <w:sz w:val="18"/>
              </w:rPr>
              <w:t>なし</w:t>
            </w:r>
          </w:p>
        </w:tc>
        <w:tc>
          <w:tcPr>
            <w:tcW w:type="dxa" w:w="1701"/>
          </w:tcPr>
          <w:p>
            <w:r/>
            <w:r>
              <w:rPr>
                <w:rFonts w:ascii="游ゴシック" w:hAnsi="游ゴシック" w:eastAsia="游ゴシック"/>
                <w:sz w:val="18"/>
              </w:rPr>
              <w:t>なし</w:t>
            </w:r>
          </w:p>
        </w:tc>
      </w:tr>
      <w:tr>
        <w:tc>
          <w:tcPr>
            <w:tcW w:type="dxa" w:w="2494"/>
          </w:tcPr>
          <w:p>
            <w:r/>
            <w:r>
              <w:rPr>
                <w:rFonts w:ascii="游ゴシック" w:hAnsi="游ゴシック" w:eastAsia="游ゴシック"/>
                <w:sz w:val="18"/>
              </w:rPr>
              <w:t>日常生活圏域の記載</w:t>
            </w:r>
          </w:p>
        </w:tc>
        <w:tc>
          <w:tcPr>
            <w:tcW w:type="dxa" w:w="1928"/>
          </w:tcPr>
          <w:p>
            <w:r/>
            <w:r>
              <w:rPr>
                <w:rFonts w:ascii="游ゴシック" w:hAnsi="游ゴシック" w:eastAsia="游ゴシック"/>
                <w:sz w:val="18"/>
              </w:rPr>
              <w:t>6圏域を設定</w:t>
            </w:r>
          </w:p>
        </w:tc>
        <w:tc>
          <w:tcPr>
            <w:tcW w:type="dxa" w:w="1928"/>
          </w:tcPr>
          <w:p>
            <w:r/>
            <w:r>
              <w:rPr>
                <w:rFonts w:ascii="游ゴシック" w:hAnsi="游ゴシック" w:eastAsia="游ゴシック"/>
                <w:sz w:val="18"/>
              </w:rPr>
              <w:t>なし</w:t>
            </w:r>
          </w:p>
        </w:tc>
        <w:tc>
          <w:tcPr>
            <w:tcW w:type="dxa" w:w="1701"/>
          </w:tcPr>
          <w:p>
            <w:r/>
            <w:r>
              <w:rPr>
                <w:rFonts w:ascii="游ゴシック" w:hAnsi="游ゴシック" w:eastAsia="游ゴシック"/>
                <w:sz w:val="18"/>
              </w:rPr>
              <w:t>なし</w:t>
            </w:r>
          </w:p>
        </w:tc>
        <w:tc>
          <w:tcPr>
            <w:tcW w:type="dxa" w:w="1701"/>
          </w:tcPr>
          <w:p>
            <w:r/>
            <w:r>
              <w:rPr>
                <w:rFonts w:ascii="游ゴシック" w:hAnsi="游ゴシック" w:eastAsia="游ゴシック"/>
                <w:sz w:val="18"/>
              </w:rPr>
              <w:t>なし</w:t>
            </w:r>
          </w:p>
        </w:tc>
      </w:tr>
      <w:tr>
        <w:tc>
          <w:tcPr>
            <w:tcW w:type="dxa" w:w="2494"/>
          </w:tcPr>
          <w:p>
            <w:r/>
            <w:r>
              <w:rPr>
                <w:rFonts w:ascii="游ゴシック" w:hAnsi="游ゴシック" w:eastAsia="游ゴシック"/>
                <w:sz w:val="18"/>
              </w:rPr>
              <w:t>「フレイル」の記載回数</w:t>
            </w:r>
          </w:p>
        </w:tc>
        <w:tc>
          <w:tcPr>
            <w:tcW w:type="dxa" w:w="1928"/>
          </w:tcPr>
          <w:p>
            <w:r/>
            <w:r>
              <w:rPr>
                <w:rFonts w:ascii="游ゴシック" w:hAnsi="游ゴシック" w:eastAsia="游ゴシック"/>
                <w:sz w:val="18"/>
              </w:rPr>
              <w:t>13回</w:t>
            </w:r>
          </w:p>
        </w:tc>
        <w:tc>
          <w:tcPr>
            <w:tcW w:type="dxa" w:w="1928"/>
          </w:tcPr>
          <w:p>
            <w:r/>
            <w:r>
              <w:rPr>
                <w:rFonts w:ascii="游ゴシック" w:hAnsi="游ゴシック" w:eastAsia="游ゴシック"/>
                <w:sz w:val="18"/>
              </w:rPr>
              <w:t>0回</w:t>
            </w:r>
          </w:p>
        </w:tc>
        <w:tc>
          <w:tcPr>
            <w:tcW w:type="dxa" w:w="1701"/>
          </w:tcPr>
          <w:p>
            <w:r/>
            <w:r>
              <w:rPr>
                <w:rFonts w:ascii="游ゴシック" w:hAnsi="游ゴシック" w:eastAsia="游ゴシック"/>
                <w:sz w:val="18"/>
              </w:rPr>
              <w:t>27回</w:t>
            </w:r>
          </w:p>
        </w:tc>
        <w:tc>
          <w:tcPr>
            <w:tcW w:type="dxa" w:w="1701"/>
          </w:tcPr>
          <w:p>
            <w:r/>
            <w:r>
              <w:rPr>
                <w:rFonts w:ascii="游ゴシック" w:hAnsi="游ゴシック" w:eastAsia="游ゴシック"/>
                <w:sz w:val="18"/>
              </w:rPr>
              <w:t>2回</w:t>
            </w:r>
          </w:p>
        </w:tc>
      </w:tr>
      <w:tr>
        <w:tc>
          <w:tcPr>
            <w:tcW w:type="dxa" w:w="2494"/>
          </w:tcPr>
          <w:p>
            <w:r/>
            <w:r>
              <w:rPr>
                <w:rFonts w:ascii="游ゴシック" w:hAnsi="游ゴシック" w:eastAsia="游ゴシック"/>
                <w:sz w:val="18"/>
              </w:rPr>
              <w:t>「通いの場」の記載回数</w:t>
            </w:r>
          </w:p>
        </w:tc>
        <w:tc>
          <w:tcPr>
            <w:tcW w:type="dxa" w:w="1928"/>
          </w:tcPr>
          <w:p>
            <w:r/>
            <w:r>
              <w:rPr>
                <w:rFonts w:ascii="游ゴシック" w:hAnsi="游ゴシック" w:eastAsia="游ゴシック"/>
                <w:sz w:val="18"/>
              </w:rPr>
              <w:t>16回</w:t>
            </w:r>
          </w:p>
        </w:tc>
        <w:tc>
          <w:tcPr>
            <w:tcW w:type="dxa" w:w="1928"/>
          </w:tcPr>
          <w:p>
            <w:r/>
            <w:r>
              <w:rPr>
                <w:rFonts w:ascii="游ゴシック" w:hAnsi="游ゴシック" w:eastAsia="游ゴシック"/>
                <w:sz w:val="18"/>
              </w:rPr>
              <w:t>2回</w:t>
            </w:r>
          </w:p>
        </w:tc>
        <w:tc>
          <w:tcPr>
            <w:tcW w:type="dxa" w:w="1701"/>
          </w:tcPr>
          <w:p>
            <w:r/>
            <w:r>
              <w:rPr>
                <w:rFonts w:ascii="游ゴシック" w:hAnsi="游ゴシック" w:eastAsia="游ゴシック"/>
                <w:sz w:val="18"/>
              </w:rPr>
              <w:t>1回</w:t>
            </w:r>
          </w:p>
        </w:tc>
        <w:tc>
          <w:tcPr>
            <w:tcW w:type="dxa" w:w="1701"/>
          </w:tcPr>
          <w:p>
            <w:r/>
            <w:r>
              <w:rPr>
                <w:rFonts w:ascii="游ゴシック" w:hAnsi="游ゴシック" w:eastAsia="游ゴシック"/>
                <w:sz w:val="18"/>
              </w:rPr>
              <w:t>3回</w:t>
            </w:r>
          </w:p>
        </w:tc>
      </w:tr>
    </w:tbl>
    <w:p>
      <w:pPr>
        <w:spacing w:after="80"/>
      </w:pPr>
      <w:r>
        <w:rPr>
          <w:rFonts w:ascii="游ゴシック" w:hAnsi="游ゴシック" w:eastAsia="游ゴシック"/>
          <w:b w:val="0"/>
          <w:sz w:val="19"/>
        </w:rPr>
        <w:t>第10期はKPIを16項目に拡張するため、この構造のままでは実行が担保できません。素案 資料2「構成3町との役割分担・共通指標」について3町とご合意いただき、3町の第10期高齢者福祉計画に共通指標を掲載していただくことを提案いたします。</w:t>
      </w:r>
    </w:p>
    <w:p>
      <w:pPr>
        <w:spacing w:after="80"/>
      </w:pPr>
      <w:r>
        <w:rPr>
          <w:rFonts w:ascii="游ゴシック" w:hAnsi="游ゴシック" w:eastAsia="游ゴシック"/>
          <w:b w:val="0"/>
          <w:sz w:val="19"/>
        </w:rPr>
        <w:t>→ 進め方：　□第1回委員会で3町に提案　□事務局から3町へ事前調整　□3町担当課との合同会議を設定　□その他（　　　　　　　　）</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(7) 通いの場参加率の採用系列　【新規・最重要】</w:t>
      </w:r>
    </w:p>
    <w:p>
      <w:pPr>
        <w:spacing w:after="80"/>
      </w:pPr>
      <w:r>
        <w:rPr>
          <w:rFonts w:ascii="游ゴシック" w:hAnsi="游ゴシック" w:eastAsia="游ゴシック"/>
          <w:b w:val="0"/>
          <w:sz w:val="19"/>
        </w:rPr>
        <w:t>第9期計画は代表KPI④について「国が掲げている目標値８％（令和7年度）を参考に、計画最終年度の目標値を設定しました」と記載しております。しかし、国の８％及び北海道の評価指標は、いずれも「介護予防・日常生活支援総合事業の実施状況に関する調査」に基づく参加率であり、大雪の実績は日常生活圏域ニーズ調査における自己申告の割合です。分母・分子の定義が異なります。</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041"/>
          </w:tcPr>
          <w:p>
            <w:r/>
            <w:r>
              <w:rPr>
                <w:rFonts w:ascii="游ゴシック" w:hAnsi="游ゴシック" w:eastAsia="游ゴシック"/>
                <w:b/>
                <w:sz w:val="18"/>
              </w:rPr>
              <w:t>区分</w:t>
            </w:r>
          </w:p>
        </w:tc>
        <w:tc>
          <w:tcPr>
            <w:tcW w:type="dxa" w:w="3402"/>
          </w:tcPr>
          <w:p>
            <w:r/>
            <w:r>
              <w:rPr>
                <w:rFonts w:ascii="游ゴシック" w:hAnsi="游ゴシック" w:eastAsia="游ゴシック"/>
                <w:b/>
                <w:sz w:val="18"/>
              </w:rPr>
              <w:t>統計</w:t>
            </w:r>
          </w:p>
        </w:tc>
        <w:tc>
          <w:tcPr>
            <w:tcW w:type="dxa" w:w="1814"/>
          </w:tcPr>
          <w:p>
            <w:r/>
            <w:r>
              <w:rPr>
                <w:rFonts w:ascii="游ゴシック" w:hAnsi="游ゴシック" w:eastAsia="游ゴシック"/>
                <w:b/>
                <w:sz w:val="18"/>
              </w:rPr>
              <w:t>基準値</w:t>
            </w:r>
          </w:p>
        </w:tc>
        <w:tc>
          <w:tcPr>
            <w:tcW w:type="dxa" w:w="2608"/>
          </w:tcPr>
          <w:p>
            <w:r/>
            <w:r>
              <w:rPr>
                <w:rFonts w:ascii="游ゴシック" w:hAnsi="游ゴシック" w:eastAsia="游ゴシック"/>
                <w:b/>
                <w:sz w:val="18"/>
              </w:rPr>
              <w:t>目標・実績</w:t>
            </w:r>
          </w:p>
        </w:tc>
      </w:tr>
      <w:tr>
        <w:tc>
          <w:tcPr>
            <w:tcW w:type="dxa" w:w="2041"/>
          </w:tcPr>
          <w:p>
            <w:r/>
            <w:r>
              <w:rPr>
                <w:rFonts w:ascii="游ゴシック" w:hAnsi="游ゴシック" w:eastAsia="游ゴシック"/>
                <w:sz w:val="18"/>
              </w:rPr>
              <w:t>国の目標</w:t>
            </w:r>
          </w:p>
        </w:tc>
        <w:tc>
          <w:tcPr>
            <w:tcW w:type="dxa" w:w="3402"/>
          </w:tcPr>
          <w:p>
            <w:r/>
            <w:r>
              <w:rPr>
                <w:rFonts w:ascii="游ゴシック" w:hAnsi="游ゴシック" w:eastAsia="游ゴシック"/>
                <w:sz w:val="18"/>
              </w:rPr>
              <w:t>総合事業の実施状況に関する調査</w:t>
            </w:r>
          </w:p>
        </w:tc>
        <w:tc>
          <w:tcPr>
            <w:tcW w:type="dxa" w:w="1814"/>
          </w:tcPr>
          <w:p>
            <w:r/>
            <w:r>
              <w:rPr>
                <w:rFonts w:ascii="游ゴシック" w:hAnsi="游ゴシック" w:eastAsia="游ゴシック"/>
                <w:sz w:val="18"/>
              </w:rPr>
              <w:t>―</w:t>
            </w:r>
          </w:p>
        </w:tc>
        <w:tc>
          <w:tcPr>
            <w:tcW w:type="dxa" w:w="2608"/>
          </w:tcPr>
          <w:p>
            <w:r/>
            <w:r>
              <w:rPr>
                <w:rFonts w:ascii="游ゴシック" w:hAnsi="游ゴシック" w:eastAsia="游ゴシック"/>
                <w:sz w:val="18"/>
              </w:rPr>
              <w:t>８％（2025年まで）</w:t>
            </w:r>
          </w:p>
        </w:tc>
      </w:tr>
      <w:tr>
        <w:tc>
          <w:tcPr>
            <w:tcW w:type="dxa" w:w="2041"/>
          </w:tcPr>
          <w:p>
            <w:r/>
            <w:r>
              <w:rPr>
                <w:rFonts w:ascii="游ゴシック" w:hAnsi="游ゴシック" w:eastAsia="游ゴシック"/>
                <w:sz w:val="18"/>
              </w:rPr>
              <w:t>北海道の評価指標</w:t>
            </w:r>
          </w:p>
        </w:tc>
        <w:tc>
          <w:tcPr>
            <w:tcW w:type="dxa" w:w="3402"/>
          </w:tcPr>
          <w:p>
            <w:r/>
            <w:r>
              <w:rPr>
                <w:rFonts w:ascii="游ゴシック" w:hAnsi="游ゴシック" w:eastAsia="游ゴシック"/>
                <w:sz w:val="18"/>
              </w:rPr>
              <w:t>同上</w:t>
            </w:r>
          </w:p>
        </w:tc>
        <w:tc>
          <w:tcPr>
            <w:tcW w:type="dxa" w:w="1814"/>
          </w:tcPr>
          <w:p>
            <w:r/>
            <w:r>
              <w:rPr>
                <w:rFonts w:ascii="游ゴシック" w:hAnsi="游ゴシック" w:eastAsia="游ゴシック"/>
                <w:sz w:val="18"/>
              </w:rPr>
              <w:t>3.94％（R3）</w:t>
            </w:r>
          </w:p>
        </w:tc>
        <w:tc>
          <w:tcPr>
            <w:tcW w:type="dxa" w:w="2608"/>
          </w:tcPr>
          <w:p>
            <w:r/>
            <w:r>
              <w:rPr>
                <w:rFonts w:ascii="游ゴシック" w:hAnsi="游ゴシック" w:eastAsia="游ゴシック"/>
                <w:sz w:val="18"/>
              </w:rPr>
              <w:t>5.37％以上（R8）　※全国はR3 5.53％</w:t>
            </w:r>
          </w:p>
        </w:tc>
      </w:tr>
      <w:tr>
        <w:tc>
          <w:tcPr>
            <w:tcW w:type="dxa" w:w="2041"/>
          </w:tcPr>
          <w:p>
            <w:r/>
            <w:r>
              <w:rPr>
                <w:rFonts w:ascii="游ゴシック" w:hAnsi="游ゴシック" w:eastAsia="游ゴシック"/>
                <w:sz w:val="18"/>
              </w:rPr>
              <w:t>大雪の代表KPI④</w:t>
            </w:r>
          </w:p>
        </w:tc>
        <w:tc>
          <w:tcPr>
            <w:tcW w:type="dxa" w:w="3402"/>
          </w:tcPr>
          <w:p>
            <w:r/>
            <w:r>
              <w:rPr>
                <w:rFonts w:ascii="游ゴシック" w:hAnsi="游ゴシック" w:eastAsia="游ゴシック"/>
                <w:sz w:val="18"/>
              </w:rPr>
              <w:t>日常生活圏域ニーズ調査（自己申告）</w:t>
            </w:r>
          </w:p>
        </w:tc>
        <w:tc>
          <w:tcPr>
            <w:tcW w:type="dxa" w:w="1814"/>
          </w:tcPr>
          <w:p>
            <w:r/>
            <w:r>
              <w:rPr>
                <w:rFonts w:ascii="游ゴシック" w:hAnsi="游ゴシック" w:eastAsia="游ゴシック"/>
                <w:sz w:val="18"/>
              </w:rPr>
              <w:t>7.3％（R4）</w:t>
            </w:r>
          </w:p>
        </w:tc>
        <w:tc>
          <w:tcPr>
            <w:tcW w:type="dxa" w:w="2608"/>
          </w:tcPr>
          <w:p>
            <w:r/>
            <w:r>
              <w:rPr>
                <w:rFonts w:ascii="游ゴシック" w:hAnsi="游ゴシック" w:eastAsia="游ゴシック"/>
                <w:sz w:val="18"/>
              </w:rPr>
              <w:t>10.0％（R8）　実績8.8％（R7）</w:t>
            </w:r>
          </w:p>
        </w:tc>
      </w:tr>
    </w:tbl>
    <w:p>
      <w:pPr>
        <w:spacing w:after="80"/>
      </w:pPr>
      <w:r>
        <w:rPr>
          <w:rFonts w:ascii="游ゴシック" w:hAnsi="游ゴシック" w:eastAsia="游ゴシック"/>
          <w:b w:val="0"/>
          <w:sz w:val="19"/>
        </w:rPr>
        <w:t>このたびF1〜F9をご提供いただき、総合事業ベースの実績が判明いたしました。統計を揃えると、当広域連合の水準は北海道・全国を大きく下回っております。</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3742"/>
          </w:tcPr>
          <w:p>
            <w:r/>
            <w:r>
              <w:rPr>
                <w:rFonts w:ascii="游ゴシック" w:hAnsi="游ゴシック" w:eastAsia="游ゴシック"/>
                <w:b/>
                <w:sz w:val="18"/>
              </w:rPr>
              <w:t>区分</w:t>
            </w:r>
          </w:p>
        </w:tc>
        <w:tc>
          <w:tcPr>
            <w:tcW w:type="dxa" w:w="1474"/>
          </w:tcPr>
          <w:p>
            <w:r/>
            <w:r>
              <w:rPr>
                <w:rFonts w:ascii="游ゴシック" w:hAnsi="游ゴシック" w:eastAsia="游ゴシック"/>
                <w:b/>
                <w:sz w:val="18"/>
              </w:rPr>
              <w:t>H29</w:t>
            </w:r>
          </w:p>
        </w:tc>
        <w:tc>
          <w:tcPr>
            <w:tcW w:type="dxa" w:w="1474"/>
          </w:tcPr>
          <w:p>
            <w:r/>
            <w:r>
              <w:rPr>
                <w:rFonts w:ascii="游ゴシック" w:hAnsi="游ゴシック" w:eastAsia="游ゴシック"/>
                <w:b/>
                <w:sz w:val="18"/>
              </w:rPr>
              <w:t>H30</w:t>
            </w:r>
          </w:p>
        </w:tc>
        <w:tc>
          <w:tcPr>
            <w:tcW w:type="dxa" w:w="1474"/>
          </w:tcPr>
          <w:p>
            <w:r/>
            <w:r>
              <w:rPr>
                <w:rFonts w:ascii="游ゴシック" w:hAnsi="游ゴシック" w:eastAsia="游ゴシック"/>
                <w:b/>
                <w:sz w:val="18"/>
              </w:rPr>
              <w:t>R元</w:t>
            </w:r>
          </w:p>
        </w:tc>
        <w:tc>
          <w:tcPr>
            <w:tcW w:type="dxa" w:w="1474"/>
          </w:tcPr>
          <w:p>
            <w:r/>
            <w:r>
              <w:rPr>
                <w:rFonts w:ascii="游ゴシック" w:hAnsi="游ゴシック" w:eastAsia="游ゴシック"/>
                <w:b/>
                <w:sz w:val="18"/>
              </w:rPr>
              <w:t>R2</w:t>
            </w:r>
          </w:p>
        </w:tc>
      </w:tr>
      <w:tr>
        <w:tc>
          <w:tcPr>
            <w:tcW w:type="dxa" w:w="3742"/>
          </w:tcPr>
          <w:p>
            <w:r/>
            <w:r>
              <w:rPr>
                <w:rFonts w:ascii="游ゴシック" w:hAnsi="游ゴシック" w:eastAsia="游ゴシック"/>
                <w:sz w:val="18"/>
              </w:rPr>
              <w:t>月1回以上の参加率　大雪</w:t>
            </w:r>
          </w:p>
        </w:tc>
        <w:tc>
          <w:tcPr>
            <w:tcW w:type="dxa" w:w="1474"/>
          </w:tcPr>
          <w:p>
            <w:r/>
            <w:r>
              <w:rPr>
                <w:rFonts w:ascii="游ゴシック" w:hAnsi="游ゴシック" w:eastAsia="游ゴシック"/>
                <w:sz w:val="18"/>
              </w:rPr>
              <w:t>3.1％</w:t>
            </w:r>
          </w:p>
        </w:tc>
        <w:tc>
          <w:tcPr>
            <w:tcW w:type="dxa" w:w="1474"/>
          </w:tcPr>
          <w:p>
            <w:r/>
            <w:r>
              <w:rPr>
                <w:rFonts w:ascii="游ゴシック" w:hAnsi="游ゴシック" w:eastAsia="游ゴシック"/>
                <w:sz w:val="18"/>
              </w:rPr>
              <w:t>3.0％</w:t>
            </w:r>
          </w:p>
        </w:tc>
        <w:tc>
          <w:tcPr>
            <w:tcW w:type="dxa" w:w="1474"/>
          </w:tcPr>
          <w:p>
            <w:r/>
            <w:r>
              <w:rPr>
                <w:rFonts w:ascii="游ゴシック" w:hAnsi="游ゴシック" w:eastAsia="游ゴシック"/>
                <w:sz w:val="18"/>
              </w:rPr>
              <w:t>2.7％</w:t>
            </w:r>
          </w:p>
        </w:tc>
        <w:tc>
          <w:tcPr>
            <w:tcW w:type="dxa" w:w="1474"/>
          </w:tcPr>
          <w:p>
            <w:r/>
            <w:r>
              <w:rPr>
                <w:rFonts w:ascii="游ゴシック" w:hAnsi="游ゴシック" w:eastAsia="游ゴシック"/>
                <w:sz w:val="18"/>
              </w:rPr>
              <w:t>1.6％</w:t>
            </w:r>
          </w:p>
        </w:tc>
      </w:tr>
      <w:tr>
        <w:tc>
          <w:tcPr>
            <w:tcW w:type="dxa" w:w="3742"/>
          </w:tcPr>
          <w:p>
            <w:r/>
            <w:r>
              <w:rPr>
                <w:rFonts w:ascii="游ゴシック" w:hAnsi="游ゴシック" w:eastAsia="游ゴシック"/>
                <w:sz w:val="18"/>
              </w:rPr>
              <w:t>月1回以上の参加率　北海道</w:t>
            </w:r>
          </w:p>
        </w:tc>
        <w:tc>
          <w:tcPr>
            <w:tcW w:type="dxa" w:w="1474"/>
          </w:tcPr>
          <w:p>
            <w:r/>
            <w:r>
              <w:rPr>
                <w:rFonts w:ascii="游ゴシック" w:hAnsi="游ゴシック" w:eastAsia="游ゴシック"/>
                <w:sz w:val="18"/>
              </w:rPr>
              <w:t>3.8％</w:t>
            </w:r>
          </w:p>
        </w:tc>
        <w:tc>
          <w:tcPr>
            <w:tcW w:type="dxa" w:w="1474"/>
          </w:tcPr>
          <w:p>
            <w:r/>
            <w:r>
              <w:rPr>
                <w:rFonts w:ascii="游ゴシック" w:hAnsi="游ゴシック" w:eastAsia="游ゴシック"/>
                <w:sz w:val="18"/>
              </w:rPr>
              <w:t>3.9％</w:t>
            </w:r>
          </w:p>
        </w:tc>
        <w:tc>
          <w:tcPr>
            <w:tcW w:type="dxa" w:w="1474"/>
          </w:tcPr>
          <w:p>
            <w:r/>
            <w:r>
              <w:rPr>
                <w:rFonts w:ascii="游ゴシック" w:hAnsi="游ゴシック" w:eastAsia="游ゴシック"/>
                <w:sz w:val="18"/>
              </w:rPr>
              <w:t>4.8％</w:t>
            </w:r>
          </w:p>
        </w:tc>
        <w:tc>
          <w:tcPr>
            <w:tcW w:type="dxa" w:w="1474"/>
          </w:tcPr>
          <w:p>
            <w:r/>
            <w:r>
              <w:rPr>
                <w:rFonts w:ascii="游ゴシック" w:hAnsi="游ゴシック" w:eastAsia="游ゴシック"/>
                <w:sz w:val="18"/>
              </w:rPr>
              <w:t>3.9％</w:t>
            </w:r>
          </w:p>
        </w:tc>
      </w:tr>
      <w:tr>
        <w:tc>
          <w:tcPr>
            <w:tcW w:type="dxa" w:w="3742"/>
          </w:tcPr>
          <w:p>
            <w:r/>
            <w:r>
              <w:rPr>
                <w:rFonts w:ascii="游ゴシック" w:hAnsi="游ゴシック" w:eastAsia="游ゴシック"/>
                <w:sz w:val="18"/>
              </w:rPr>
              <w:t>月1回以上の参加率　全国</w:t>
            </w:r>
          </w:p>
        </w:tc>
        <w:tc>
          <w:tcPr>
            <w:tcW w:type="dxa" w:w="1474"/>
          </w:tcPr>
          <w:p>
            <w:r/>
            <w:r>
              <w:rPr>
                <w:rFonts w:ascii="游ゴシック" w:hAnsi="游ゴシック" w:eastAsia="游ゴシック"/>
                <w:sz w:val="18"/>
              </w:rPr>
              <w:t>4.9％</w:t>
            </w:r>
          </w:p>
        </w:tc>
        <w:tc>
          <w:tcPr>
            <w:tcW w:type="dxa" w:w="1474"/>
          </w:tcPr>
          <w:p>
            <w:r/>
            <w:r>
              <w:rPr>
                <w:rFonts w:ascii="游ゴシック" w:hAnsi="游ゴシック" w:eastAsia="游ゴシック"/>
                <w:sz w:val="18"/>
              </w:rPr>
              <w:t>5.7％</w:t>
            </w:r>
          </w:p>
        </w:tc>
        <w:tc>
          <w:tcPr>
            <w:tcW w:type="dxa" w:w="1474"/>
          </w:tcPr>
          <w:p>
            <w:r/>
            <w:r>
              <w:rPr>
                <w:rFonts w:ascii="游ゴシック" w:hAnsi="游ゴシック" w:eastAsia="游ゴシック"/>
                <w:sz w:val="18"/>
              </w:rPr>
              <w:t>6.7％</w:t>
            </w:r>
          </w:p>
        </w:tc>
        <w:tc>
          <w:tcPr>
            <w:tcW w:type="dxa" w:w="1474"/>
          </w:tcPr>
          <w:p>
            <w:r/>
            <w:r>
              <w:rPr>
                <w:rFonts w:ascii="游ゴシック" w:hAnsi="游ゴシック" w:eastAsia="游ゴシック"/>
                <w:sz w:val="18"/>
              </w:rPr>
              <w:t>5.2％</w:t>
            </w:r>
          </w:p>
        </w:tc>
      </w:tr>
      <w:tr>
        <w:tc>
          <w:tcPr>
            <w:tcW w:type="dxa" w:w="3742"/>
          </w:tcPr>
          <w:p>
            <w:r/>
            <w:r>
              <w:rPr>
                <w:rFonts w:ascii="游ゴシック" w:hAnsi="游ゴシック" w:eastAsia="游ゴシック"/>
                <w:sz w:val="18"/>
              </w:rPr>
              <w:t>週1回以上の箇所数　大雪</w:t>
            </w:r>
          </w:p>
        </w:tc>
        <w:tc>
          <w:tcPr>
            <w:tcW w:type="dxa" w:w="1474"/>
          </w:tcPr>
          <w:p>
            <w:r/>
            <w:r>
              <w:rPr>
                <w:rFonts w:ascii="游ゴシック" w:hAnsi="游ゴシック" w:eastAsia="游ゴシック"/>
                <w:sz w:val="18"/>
              </w:rPr>
              <w:t>7箇所</w:t>
            </w:r>
          </w:p>
        </w:tc>
        <w:tc>
          <w:tcPr>
            <w:tcW w:type="dxa" w:w="1474"/>
          </w:tcPr>
          <w:p>
            <w:r/>
            <w:r>
              <w:rPr>
                <w:rFonts w:ascii="游ゴシック" w:hAnsi="游ゴシック" w:eastAsia="游ゴシック"/>
                <w:sz w:val="18"/>
              </w:rPr>
              <w:t>6箇所</w:t>
            </w:r>
          </w:p>
        </w:tc>
        <w:tc>
          <w:tcPr>
            <w:tcW w:type="dxa" w:w="1474"/>
          </w:tcPr>
          <w:p>
            <w:r/>
            <w:r>
              <w:rPr>
                <w:rFonts w:ascii="游ゴシック" w:hAnsi="游ゴシック" w:eastAsia="游ゴシック"/>
                <w:sz w:val="18"/>
              </w:rPr>
              <w:t>4箇所</w:t>
            </w:r>
          </w:p>
        </w:tc>
        <w:tc>
          <w:tcPr>
            <w:tcW w:type="dxa" w:w="1474"/>
          </w:tcPr>
          <w:p>
            <w:r/>
            <w:r>
              <w:rPr>
                <w:rFonts w:ascii="游ゴシック" w:hAnsi="游ゴシック" w:eastAsia="游ゴシック"/>
                <w:sz w:val="18"/>
              </w:rPr>
              <w:t>3箇所</w:t>
            </w:r>
          </w:p>
        </w:tc>
      </w:tr>
    </w:tbl>
    <w:p>
      <w:pPr>
        <w:spacing w:after="80"/>
      </w:pPr>
      <w:r>
        <w:rPr>
          <w:rFonts w:ascii="游ゴシック" w:hAnsi="游ゴシック" w:eastAsia="游ゴシック"/>
          <w:b w:val="0"/>
          <w:sz w:val="19"/>
        </w:rPr>
        <w:t>令和2年度の1.6％は北海道3.9％の41％、全国5.2％の31％であり、北海道の第9期目標5.37％を2.34ポイント下回ります。週1回以上の通いの場は3箇所で、65歳以上1万人あたり3.24箇所は全国13.12箇所の25％にとどまります。平成29年度の3.1％・7箇所をピークに低下しており、参加者も277人から151人へ45％減少しています。</w:t>
      </w:r>
    </w:p>
    <w:p>
      <w:pPr>
        <w:spacing w:after="80"/>
      </w:pPr>
      <w:r>
        <w:rPr>
          <w:rFonts w:ascii="游ゴシック" w:hAnsi="游ゴシック" w:eastAsia="游ゴシック"/>
          <w:b w:val="0"/>
          <w:sz w:val="19"/>
        </w:rPr>
        <w:t>したがいまして、第9期の評価は「国目標8％を達成」ではなく、「ニーズ調査ベースでは自主目標に0.2ポイント未達。総合事業ベースでは全国の31％の水準で低下傾向」と整理することが正確と考えます。介護予防・社会参加については、第10期の重点施策として位置づけを引き上げることをご検討いただきたく存じます。</w:t>
      </w:r>
    </w:p>
    <w:p>
      <w:pPr>
        <w:spacing w:after="80"/>
      </w:pPr>
      <w:r>
        <w:rPr>
          <w:rFonts w:ascii="游ゴシック" w:hAnsi="游ゴシック" w:eastAsia="游ゴシック"/>
          <w:b w:val="0"/>
          <w:sz w:val="19"/>
        </w:rPr>
        <w:t>なお、当広域連合の3箇所の内訳には特徴がございます。活動内容が体操（運動）1・認知症予防1・農作業1で、農作業を主な活動内容とする通いの場は全国59箇所（0.1％）・北海道1箇所（0.1％）と稀な類型です。圏域の地域特性を反映しており、第10期の施策の核の一つにできる可能性がございます。一方、住民個人が運営する通いの場は全国19.2％・北海道28.8％あるのに対し当広域連合は0箇所で、小規模な立ち上げ支援は差が大きい領域です。</w:t>
      </w:r>
    </w:p>
    <w:p>
      <w:pPr>
        <w:spacing w:after="80"/>
      </w:pPr>
      <w:r>
        <w:rPr>
          <w:rFonts w:ascii="游ゴシック" w:hAnsi="游ゴシック" w:eastAsia="游ゴシック"/>
          <w:b w:val="0"/>
          <w:sz w:val="19"/>
        </w:rPr>
        <w:t>第10期基本指針の新別表も、通いの場の把握方法として総合事業の実施状況に関する調査を挙げております。このため、①第9期の評価では「国目標８％を達成」という記述を避けること、②第10期は総合事業調査ベースの参加率を別途把握し、北海道・全国との比較にはそちらを用いること、③H05の合成指標36.0％はニーズ調査ベースであり他地域と比較できない旨を注記すること、を提案いたします。</w:t>
      </w:r>
    </w:p>
    <w:p>
      <w:pPr>
        <w:spacing w:after="80"/>
      </w:pPr>
      <w:r>
        <w:rPr>
          <w:rFonts w:ascii="游ゴシック" w:hAnsi="游ゴシック" w:eastAsia="游ゴシック"/>
          <w:b w:val="0"/>
          <w:sz w:val="19"/>
        </w:rPr>
        <w:t>F1〜F9のデータは令和2年度までで、令和3年度以降は見える化に登録がない旨をご教示いただきました。総合事業の実施状況に関する調査は継続しておりますので、貴連合が国へご報告された令和3〜6年度の調査票の写しをご提供いただけますでしょうか。ご提供が難しい場合は、第10期の基準値を令和2年度（1.6％・3箇所）といたします。</w:t>
      </w:r>
    </w:p>
    <w:p>
      <w:pPr>
        <w:spacing w:after="80"/>
      </w:pPr>
      <w:r>
        <w:rPr>
          <w:rFonts w:ascii="游ゴシック" w:hAnsi="游ゴシック" w:eastAsia="游ゴシック"/>
          <w:b w:val="0"/>
          <w:sz w:val="19"/>
        </w:rPr>
        <w:t>→ 採用系列：　□総合事業調査ベースを主・ニーズ調査ベースを従（推奨）　□ニーズ調査ベースのみ　□両論併記</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(8) 24時間対応サービスの確保方策　【新規】</w:t>
      </w:r>
    </w:p>
    <w:p>
      <w:pPr>
        <w:spacing w:after="80"/>
      </w:pPr>
      <w:r>
        <w:rPr>
          <w:rFonts w:ascii="游ゴシック" w:hAnsi="游ゴシック" w:eastAsia="游ゴシック"/>
          <w:b w:val="0"/>
          <w:sz w:val="19"/>
        </w:rPr>
        <w:t>このたびK系列（サービス提供事業所数　全28種別）をご提供いただき、重度者の在宅生活を24時間支える3サービスが、制度創設以来13年間、管内に1事業所も存在しないことが確定いたしました。</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3402"/>
          </w:tcPr>
          <w:p>
            <w:r/>
            <w:r>
              <w:rPr>
                <w:rFonts w:ascii="游ゴシック" w:hAnsi="游ゴシック" w:eastAsia="游ゴシック"/>
                <w:b/>
                <w:sz w:val="18"/>
              </w:rPr>
              <w:t>サービス</w:t>
            </w:r>
          </w:p>
        </w:tc>
        <w:tc>
          <w:tcPr>
            <w:tcW w:type="dxa" w:w="1814"/>
          </w:tcPr>
          <w:p>
            <w:r/>
            <w:r>
              <w:rPr>
                <w:rFonts w:ascii="游ゴシック" w:hAnsi="游ゴシック" w:eastAsia="游ゴシック"/>
                <w:b/>
                <w:sz w:val="18"/>
              </w:rPr>
              <w:t>大雪（事業所）</w:t>
            </w:r>
          </w:p>
        </w:tc>
        <w:tc>
          <w:tcPr>
            <w:tcW w:type="dxa" w:w="1247"/>
          </w:tcPr>
          <w:p>
            <w:r/>
            <w:r>
              <w:rPr>
                <w:rFonts w:ascii="游ゴシック" w:hAnsi="游ゴシック" w:eastAsia="游ゴシック"/>
                <w:b/>
                <w:sz w:val="18"/>
              </w:rPr>
              <w:t>北海道</w:t>
            </w:r>
          </w:p>
        </w:tc>
        <w:tc>
          <w:tcPr>
            <w:tcW w:type="dxa" w:w="1247"/>
          </w:tcPr>
          <w:p>
            <w:r/>
            <w:r>
              <w:rPr>
                <w:rFonts w:ascii="游ゴシック" w:hAnsi="游ゴシック" w:eastAsia="游ゴシック"/>
                <w:b/>
                <w:sz w:val="18"/>
              </w:rPr>
              <w:t>全国</w:t>
            </w:r>
          </w:p>
        </w:tc>
        <w:tc>
          <w:tcPr>
            <w:tcW w:type="dxa" w:w="2041"/>
          </w:tcPr>
          <w:p>
            <w:r/>
            <w:r>
              <w:rPr>
                <w:rFonts w:ascii="游ゴシック" w:hAnsi="游ゴシック" w:eastAsia="游ゴシック"/>
                <w:b/>
                <w:sz w:val="18"/>
              </w:rPr>
              <w:t>上川中部圏域（令和8年見込）</w:t>
            </w:r>
          </w:p>
        </w:tc>
      </w:tr>
      <w:tr>
        <w:tc>
          <w:tcPr>
            <w:tcW w:type="dxa" w:w="3402"/>
          </w:tcPr>
          <w:p>
            <w:r/>
            <w:r>
              <w:rPr>
                <w:rFonts w:ascii="游ゴシック" w:hAnsi="游ゴシック" w:eastAsia="游ゴシック"/>
                <w:sz w:val="18"/>
              </w:rPr>
              <w:t>定期巡回・随時対応型訪問介護看護</w:t>
            </w:r>
          </w:p>
        </w:tc>
        <w:tc>
          <w:tcPr>
            <w:tcW w:type="dxa" w:w="1814"/>
          </w:tcPr>
          <w:p>
            <w:r/>
            <w:r>
              <w:rPr>
                <w:rFonts w:ascii="游ゴシック" w:hAnsi="游ゴシック" w:eastAsia="游ゴシック"/>
                <w:sz w:val="18"/>
              </w:rPr>
              <w:t>0（H24〜R6）</w:t>
            </w:r>
          </w:p>
        </w:tc>
        <w:tc>
          <w:tcPr>
            <w:tcW w:type="dxa" w:w="1247"/>
          </w:tcPr>
          <w:p>
            <w:r/>
            <w:r>
              <w:rPr>
                <w:rFonts w:ascii="游ゴシック" w:hAnsi="游ゴシック" w:eastAsia="游ゴシック"/>
                <w:sz w:val="18"/>
              </w:rPr>
              <w:t>2.6</w:t>
            </w:r>
          </w:p>
        </w:tc>
        <w:tc>
          <w:tcPr>
            <w:tcW w:type="dxa" w:w="1247"/>
          </w:tcPr>
          <w:p>
            <w:r/>
            <w:r>
              <w:rPr>
                <w:rFonts w:ascii="游ゴシック" w:hAnsi="游ゴシック" w:eastAsia="游ゴシック"/>
                <w:sz w:val="18"/>
              </w:rPr>
              <w:t>1.2</w:t>
            </w:r>
          </w:p>
        </w:tc>
        <w:tc>
          <w:tcPr>
            <w:tcW w:type="dxa" w:w="2041"/>
          </w:tcPr>
          <w:p>
            <w:r/>
            <w:r>
              <w:rPr>
                <w:rFonts w:ascii="游ゴシック" w:hAnsi="游ゴシック" w:eastAsia="游ゴシック"/>
                <w:sz w:val="18"/>
              </w:rPr>
              <w:t>68.0人/月</w:t>
            </w:r>
          </w:p>
        </w:tc>
      </w:tr>
      <w:tr>
        <w:tc>
          <w:tcPr>
            <w:tcW w:type="dxa" w:w="3402"/>
          </w:tcPr>
          <w:p>
            <w:r/>
            <w:r>
              <w:rPr>
                <w:rFonts w:ascii="游ゴシック" w:hAnsi="游ゴシック" w:eastAsia="游ゴシック"/>
                <w:sz w:val="18"/>
              </w:rPr>
              <w:t>夜間対応型訪問介護</w:t>
            </w:r>
          </w:p>
        </w:tc>
        <w:tc>
          <w:tcPr>
            <w:tcW w:type="dxa" w:w="1814"/>
          </w:tcPr>
          <w:p>
            <w:r/>
            <w:r>
              <w:rPr>
                <w:rFonts w:ascii="游ゴシック" w:hAnsi="游ゴシック" w:eastAsia="游ゴシック"/>
                <w:sz w:val="18"/>
              </w:rPr>
              <w:t>0（H24〜R6）</w:t>
            </w:r>
          </w:p>
        </w:tc>
        <w:tc>
          <w:tcPr>
            <w:tcW w:type="dxa" w:w="1247"/>
          </w:tcPr>
          <w:p>
            <w:r/>
            <w:r>
              <w:rPr>
                <w:rFonts w:ascii="游ゴシック" w:hAnsi="游ゴシック" w:eastAsia="游ゴシック"/>
                <w:sz w:val="18"/>
              </w:rPr>
              <w:t>0.1</w:t>
            </w:r>
          </w:p>
        </w:tc>
        <w:tc>
          <w:tcPr>
            <w:tcW w:type="dxa" w:w="1247"/>
          </w:tcPr>
          <w:p>
            <w:r/>
            <w:r>
              <w:rPr>
                <w:rFonts w:ascii="游ゴシック" w:hAnsi="游ゴシック" w:eastAsia="游ゴシック"/>
                <w:sz w:val="18"/>
              </w:rPr>
              <w:t>0.2</w:t>
            </w:r>
          </w:p>
        </w:tc>
        <w:tc>
          <w:tcPr>
            <w:tcW w:type="dxa" w:w="2041"/>
          </w:tcPr>
          <w:p>
            <w:r/>
            <w:r>
              <w:rPr>
                <w:rFonts w:ascii="游ゴシック" w:hAnsi="游ゴシック" w:eastAsia="游ゴシック"/>
                <w:sz w:val="18"/>
              </w:rPr>
              <w:t>―</w:t>
            </w:r>
          </w:p>
        </w:tc>
      </w:tr>
      <w:tr>
        <w:tc>
          <w:tcPr>
            <w:tcW w:type="dxa" w:w="3402"/>
          </w:tcPr>
          <w:p>
            <w:r/>
            <w:r>
              <w:rPr>
                <w:rFonts w:ascii="游ゴシック" w:hAnsi="游ゴシック" w:eastAsia="游ゴシック"/>
                <w:sz w:val="18"/>
              </w:rPr>
              <w:t>看護小規模多機能型居宅介護</w:t>
            </w:r>
          </w:p>
        </w:tc>
        <w:tc>
          <w:tcPr>
            <w:tcW w:type="dxa" w:w="1814"/>
          </w:tcPr>
          <w:p>
            <w:r/>
            <w:r>
              <w:rPr>
                <w:rFonts w:ascii="游ゴシック" w:hAnsi="游ゴシック" w:eastAsia="游ゴシック"/>
                <w:sz w:val="18"/>
              </w:rPr>
              <w:t>0（H24〜R6）</w:t>
            </w:r>
          </w:p>
        </w:tc>
        <w:tc>
          <w:tcPr>
            <w:tcW w:type="dxa" w:w="1247"/>
          </w:tcPr>
          <w:p>
            <w:r/>
            <w:r>
              <w:rPr>
                <w:rFonts w:ascii="游ゴシック" w:hAnsi="游ゴシック" w:eastAsia="游ゴシック"/>
                <w:sz w:val="18"/>
              </w:rPr>
              <w:t>1.6</w:t>
            </w:r>
          </w:p>
        </w:tc>
        <w:tc>
          <w:tcPr>
            <w:tcW w:type="dxa" w:w="1247"/>
          </w:tcPr>
          <w:p>
            <w:r/>
            <w:r>
              <w:rPr>
                <w:rFonts w:ascii="游ゴシック" w:hAnsi="游ゴシック" w:eastAsia="游ゴシック"/>
                <w:sz w:val="18"/>
              </w:rPr>
              <w:t>0.9</w:t>
            </w:r>
          </w:p>
        </w:tc>
        <w:tc>
          <w:tcPr>
            <w:tcW w:type="dxa" w:w="2041"/>
          </w:tcPr>
          <w:p>
            <w:r/>
            <w:r>
              <w:rPr>
                <w:rFonts w:ascii="游ゴシック" w:hAnsi="游ゴシック" w:eastAsia="游ゴシック"/>
                <w:sz w:val="18"/>
              </w:rPr>
              <w:t>101.0人/月</w:t>
            </w:r>
          </w:p>
        </w:tc>
      </w:tr>
    </w:tbl>
    <w:p>
      <w:pPr>
        <w:spacing w:after="80"/>
      </w:pPr>
      <w:r>
        <w:rPr>
          <w:rFonts w:ascii="游ゴシック" w:hAnsi="游ゴシック" w:eastAsia="游ゴシック"/>
          <w:b w:val="0"/>
          <w:sz w:val="18"/>
        </w:rPr>
        <w:t>※　北海道・全国は人口10万対の事業所数（令和6年度）。圏域見込は北海道第9期計画 第7章第12節4。</w:t>
      </w:r>
    </w:p>
    <w:p>
      <w:pPr>
        <w:spacing w:after="80"/>
      </w:pPr>
      <w:r>
        <w:rPr>
          <w:rFonts w:ascii="游ゴシック" w:hAnsi="游ゴシック" w:eastAsia="游ゴシック"/>
          <w:b w:val="0"/>
          <w:sz w:val="19"/>
        </w:rPr>
        <w:t>一方、当広域連合では要介護5の54.6％、要介護4の49.1％が在宅・居住系にいらっしゃいます。圏域内の他保険者では定期巡回・看多機がいずれも機能しており、当広域連合だけが空白となっている状況です。</w:t>
      </w:r>
    </w:p>
    <w:p>
      <w:pPr>
        <w:spacing w:after="80"/>
      </w:pPr>
      <w:r>
        <w:rPr>
          <w:rFonts w:ascii="游ゴシック" w:hAnsi="游ゴシック" w:eastAsia="游ゴシック"/>
          <w:b w:val="0"/>
          <w:sz w:val="19"/>
        </w:rPr>
        <w:t>なお、全28サービス種別のうち11種別（39.3％）で管内の事業所数がゼロであり、ほかに訪問入浴介護、福祉用具貸与、認知症対応型通所介護（平成27年度に消滅）、介護医療院、地域密着型特定施設が該当いたします。福祉用具貸与は給付が平成30年度から36.4％増加しておりますので、事業所がないことと給付がないことは別である点を申し添えます。</w:t>
      </w:r>
    </w:p>
    <w:p>
      <w:pPr>
        <w:spacing w:after="80"/>
      </w:pPr>
      <w:r>
        <w:rPr>
          <w:rFonts w:ascii="游ゴシック" w:hAnsi="游ゴシック" w:eastAsia="游ゴシック"/>
          <w:b w:val="0"/>
          <w:sz w:val="19"/>
        </w:rPr>
        <w:t>第6章の整備方針を確定するため、次のいずれの方向で整理するかをご決定いただきたく存じます。</w:t>
      </w:r>
    </w:p>
    <w:tbl>
      <w:tblPr>
        <w:tblStyle w:val="TableGrid"/>
        <w:tblW w:type="auto" w:w="0"/>
        <w:jc w:val="center"/>
        <w:tblLook w:firstColumn="1" w:firstRow="1" w:lastColumn="0" w:lastRow="0" w:noHBand="0" w:noVBand="1" w:val="04A0"/>
      </w:tblPr>
      <w:tblGrid>
        <w:gridCol w:w="3400"/>
        <w:gridCol w:w="3400"/>
        <w:gridCol w:w="3400"/>
      </w:tblGrid>
      <w:tr>
        <w:tc>
          <w:tcPr>
            <w:tcW w:type="dxa" w:w="680"/>
          </w:tcPr>
          <w:p>
            <w:r/>
            <w:r>
              <w:rPr>
                <w:rFonts w:ascii="游ゴシック" w:hAnsi="游ゴシック" w:eastAsia="游ゴシック"/>
                <w:b/>
                <w:sz w:val="18"/>
              </w:rPr>
              <w:t>案</w:t>
            </w:r>
          </w:p>
        </w:tc>
        <w:tc>
          <w:tcPr>
            <w:tcW w:type="dxa" w:w="4252"/>
          </w:tcPr>
          <w:p>
            <w:r/>
            <w:r>
              <w:rPr>
                <w:rFonts w:ascii="游ゴシック" w:hAnsi="游ゴシック" w:eastAsia="游ゴシック"/>
                <w:b/>
                <w:sz w:val="18"/>
              </w:rPr>
              <w:t>内容</w:t>
            </w:r>
          </w:p>
        </w:tc>
        <w:tc>
          <w:tcPr>
            <w:tcW w:type="dxa" w:w="4252"/>
          </w:tcPr>
          <w:p>
            <w:r/>
            <w:r>
              <w:rPr>
                <w:rFonts w:ascii="游ゴシック" w:hAnsi="游ゴシック" w:eastAsia="游ゴシック"/>
                <w:b/>
                <w:sz w:val="18"/>
              </w:rPr>
              <w:t>留意点</w:t>
            </w:r>
          </w:p>
        </w:tc>
      </w:tr>
      <w:tr>
        <w:tc>
          <w:tcPr>
            <w:tcW w:type="dxa" w:w="680"/>
          </w:tcPr>
          <w:p>
            <w:r/>
            <w:r>
              <w:rPr>
                <w:rFonts w:ascii="游ゴシック" w:hAnsi="游ゴシック" w:eastAsia="游ゴシック"/>
                <w:sz w:val="18"/>
              </w:rPr>
              <w:t>A</w:t>
            </w:r>
          </w:p>
        </w:tc>
        <w:tc>
          <w:tcPr>
            <w:tcW w:type="dxa" w:w="4252"/>
          </w:tcPr>
          <w:p>
            <w:r/>
            <w:r>
              <w:rPr>
                <w:rFonts w:ascii="游ゴシック" w:hAnsi="游ゴシック" w:eastAsia="游ゴシック"/>
                <w:sz w:val="18"/>
              </w:rPr>
              <w:t>第10期中に定期巡回又は看多機を管内に整備する（3町単独又は広域）</w:t>
            </w:r>
          </w:p>
        </w:tc>
        <w:tc>
          <w:tcPr>
            <w:tcW w:type="dxa" w:w="4252"/>
          </w:tcPr>
          <w:p>
            <w:r/>
            <w:r>
              <w:rPr>
                <w:rFonts w:ascii="游ゴシック" w:hAnsi="游ゴシック" w:eastAsia="游ゴシック"/>
                <w:sz w:val="18"/>
              </w:rPr>
              <w:t>小規模自治体では採算の確保が課題。既存の訪問介護13事業所・訪問看護7事業所との連携が前提</w:t>
            </w:r>
          </w:p>
        </w:tc>
      </w:tr>
      <w:tr>
        <w:tc>
          <w:tcPr>
            <w:tcW w:type="dxa" w:w="680"/>
          </w:tcPr>
          <w:p>
            <w:r/>
            <w:r>
              <w:rPr>
                <w:rFonts w:ascii="游ゴシック" w:hAnsi="游ゴシック" w:eastAsia="游ゴシック"/>
                <w:sz w:val="18"/>
              </w:rPr>
              <w:t>B</w:t>
            </w:r>
          </w:p>
        </w:tc>
        <w:tc>
          <w:tcPr>
            <w:tcW w:type="dxa" w:w="4252"/>
          </w:tcPr>
          <w:p>
            <w:r/>
            <w:r>
              <w:rPr>
                <w:rFonts w:ascii="游ゴシック" w:hAnsi="游ゴシック" w:eastAsia="游ゴシック"/>
                <w:sz w:val="18"/>
              </w:rPr>
              <w:t>旭川市の事業所の利用を前提とし、圏域を越えた利用の調整を進める</w:t>
            </w:r>
          </w:p>
        </w:tc>
        <w:tc>
          <w:tcPr>
            <w:tcW w:type="dxa" w:w="4252"/>
          </w:tcPr>
          <w:p>
            <w:r/>
            <w:r>
              <w:rPr>
                <w:rFonts w:ascii="游ゴシック" w:hAnsi="游ゴシック" w:eastAsia="游ゴシック"/>
                <w:sz w:val="18"/>
              </w:rPr>
              <w:t>地域密着型サービスは保険者指定のため、市町村間の同意が必要。移動時間の制約もある</w:t>
            </w:r>
          </w:p>
        </w:tc>
      </w:tr>
      <w:tr>
        <w:tc>
          <w:tcPr>
            <w:tcW w:type="dxa" w:w="680"/>
          </w:tcPr>
          <w:p>
            <w:r/>
            <w:r>
              <w:rPr>
                <w:rFonts w:ascii="游ゴシック" w:hAnsi="游ゴシック" w:eastAsia="游ゴシック"/>
                <w:sz w:val="18"/>
              </w:rPr>
              <w:t>C</w:t>
            </w:r>
          </w:p>
        </w:tc>
        <w:tc>
          <w:tcPr>
            <w:tcW w:type="dxa" w:w="4252"/>
          </w:tcPr>
          <w:p>
            <w:r/>
            <w:r>
              <w:rPr>
                <w:rFonts w:ascii="游ゴシック" w:hAnsi="游ゴシック" w:eastAsia="游ゴシック"/>
                <w:sz w:val="18"/>
              </w:rPr>
              <w:t>訪問介護・訪問看護・小規模多機能型居宅介護の組合せで代替する方針を明記する</w:t>
            </w:r>
          </w:p>
        </w:tc>
        <w:tc>
          <w:tcPr>
            <w:tcW w:type="dxa" w:w="4252"/>
          </w:tcPr>
          <w:p>
            <w:r/>
            <w:r>
              <w:rPr>
                <w:rFonts w:ascii="游ゴシック" w:hAnsi="游ゴシック" w:eastAsia="游ゴシック"/>
                <w:sz w:val="18"/>
              </w:rPr>
              <w:t>現状の実態に即すが、夜間・深夜の対応は制度上担保されない</w:t>
            </w:r>
          </w:p>
        </w:tc>
      </w:tr>
    </w:tbl>
    <w:p>
      <w:pPr>
        <w:spacing w:after="80"/>
      </w:pPr>
      <w:r>
        <w:rPr>
          <w:rFonts w:ascii="游ゴシック" w:hAnsi="游ゴシック" w:eastAsia="游ゴシック"/>
          <w:b w:val="0"/>
          <w:sz w:val="19"/>
        </w:rPr>
        <w:t>→ ご希望の案：　□A案　□B案　□C案　□その他（　　　　　　　　　　　　）</w:t>
      </w:r>
    </w:p>
    <w:p>
      <w:r>
        <w:br w:type="page"/>
      </w:r>
    </w:p>
    <w:p>
      <w:pPr>
        <w:spacing w:after="120" w:before="200"/>
      </w:pPr>
      <w:r>
        <w:rPr>
          <w:rFonts w:ascii="游ゴシック" w:hAnsi="游ゴシック" w:eastAsia="游ゴシック"/>
          <w:b/>
          <w:sz w:val="24"/>
        </w:rPr>
        <w:t>２　事務局にてご確認いただきたい事項（22件）</w:t>
      </w:r>
    </w:p>
    <w:p>
      <w:pPr>
        <w:spacing w:after="80"/>
      </w:pPr>
      <w:r>
        <w:rPr>
          <w:rFonts w:ascii="游ゴシック" w:hAnsi="游ゴシック" w:eastAsia="游ゴシック"/>
          <w:b w:val="0"/>
          <w:sz w:val="19"/>
        </w:rPr>
        <w:t>回答欄への記入、又は口頭でのご回答いずれでも差し支えありません。</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567"/>
          </w:tcPr>
          <w:p>
            <w:r/>
            <w:r>
              <w:rPr>
                <w:rFonts w:ascii="游ゴシック" w:hAnsi="游ゴシック" w:eastAsia="游ゴシック"/>
                <w:b/>
                <w:sz w:val="18"/>
              </w:rPr>
              <w:t>No.</w:t>
            </w:r>
          </w:p>
        </w:tc>
        <w:tc>
          <w:tcPr>
            <w:tcW w:type="dxa" w:w="2041"/>
          </w:tcPr>
          <w:p>
            <w:r/>
            <w:r>
              <w:rPr>
                <w:rFonts w:ascii="游ゴシック" w:hAnsi="游ゴシック" w:eastAsia="游ゴシック"/>
                <w:b/>
                <w:sz w:val="18"/>
              </w:rPr>
              <w:t>確認事項</w:t>
            </w:r>
          </w:p>
        </w:tc>
        <w:tc>
          <w:tcPr>
            <w:tcW w:type="dxa" w:w="5216"/>
          </w:tcPr>
          <w:p>
            <w:r/>
            <w:r>
              <w:rPr>
                <w:rFonts w:ascii="游ゴシック" w:hAnsi="游ゴシック" w:eastAsia="游ゴシック"/>
                <w:b/>
                <w:sz w:val="18"/>
              </w:rPr>
              <w:t>確認をお願いする内容</w:t>
            </w:r>
          </w:p>
        </w:tc>
        <w:tc>
          <w:tcPr>
            <w:tcW w:type="dxa" w:w="1587"/>
          </w:tcPr>
          <w:p>
            <w:r/>
            <w:r>
              <w:rPr>
                <w:rFonts w:ascii="游ゴシック" w:hAnsi="游ゴシック" w:eastAsia="游ゴシック"/>
                <w:b/>
                <w:sz w:val="18"/>
              </w:rPr>
              <w:t>回答欄</w:t>
            </w:r>
          </w:p>
        </w:tc>
      </w:tr>
      <w:tr>
        <w:tc>
          <w:tcPr>
            <w:tcW w:type="dxa" w:w="567"/>
          </w:tcPr>
          <w:p>
            <w:r/>
            <w:r>
              <w:rPr>
                <w:rFonts w:ascii="游ゴシック" w:hAnsi="游ゴシック" w:eastAsia="游ゴシック"/>
                <w:sz w:val="18"/>
              </w:rPr>
              <w:t>1</w:t>
            </w:r>
          </w:p>
        </w:tc>
        <w:tc>
          <w:tcPr>
            <w:tcW w:type="dxa" w:w="2041"/>
          </w:tcPr>
          <w:p>
            <w:r/>
            <w:r>
              <w:rPr>
                <w:rFonts w:ascii="游ゴシック" w:hAnsi="游ゴシック" w:eastAsia="游ゴシック"/>
                <w:sz w:val="18"/>
              </w:rPr>
              <w:t>施設定員の減少経緯　【新規】</w:t>
            </w:r>
          </w:p>
        </w:tc>
        <w:tc>
          <w:tcPr>
            <w:tcW w:type="dxa" w:w="5216"/>
          </w:tcPr>
          <w:p>
            <w:r/>
            <w:r>
              <w:rPr>
                <w:rFonts w:ascii="游ゴシック" w:hAnsi="游ゴシック" w:eastAsia="游ゴシック"/>
                <w:sz w:val="18"/>
              </w:rPr>
              <w:t>介護老人福祉施設の定員が平成29年度234人から令和2年度160人へ74人減少し、認知症対応型共同生活介護も令和3年度117人から令和4年度99人へ18人減少しております（見える化D25・D26）。休廃止・転換・ユニット縮小など、減少の経緯をご教示ください。第2章の記述と第6章の整備方針の前提となり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2</w:t>
            </w:r>
          </w:p>
        </w:tc>
        <w:tc>
          <w:tcPr>
            <w:tcW w:type="dxa" w:w="2041"/>
          </w:tcPr>
          <w:p>
            <w:r/>
            <w:r>
              <w:rPr>
                <w:rFonts w:ascii="游ゴシック" w:hAnsi="游ゴシック" w:eastAsia="游ゴシック"/>
                <w:sz w:val="18"/>
              </w:rPr>
              <w:t>認定を受けて利用していない方の状況　【新規】</w:t>
            </w:r>
          </w:p>
        </w:tc>
        <w:tc>
          <w:tcPr>
            <w:tcW w:type="dxa" w:w="5216"/>
          </w:tcPr>
          <w:p>
            <w:r/>
            <w:r>
              <w:rPr>
                <w:rFonts w:ascii="游ゴシック" w:hAnsi="游ゴシック" w:eastAsia="游ゴシック"/>
                <w:sz w:val="18"/>
              </w:rPr>
              <w:t>令和6年度は認定者1,962人に対し受給者1,458人で、504人（25.7％）が未利用です。介護サービス利用率は平成28年度82.2％から74.3％へ低下しております。更新申請のみで利用に至らない方、入所待機の方、家族介護で対応している方など、実務上把握されている状況をご教示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3</w:t>
            </w:r>
          </w:p>
        </w:tc>
        <w:tc>
          <w:tcPr>
            <w:tcW w:type="dxa" w:w="2041"/>
          </w:tcPr>
          <w:p>
            <w:r/>
            <w:r>
              <w:rPr>
                <w:rFonts w:ascii="游ゴシック" w:hAnsi="游ゴシック" w:eastAsia="游ゴシック"/>
                <w:sz w:val="18"/>
              </w:rPr>
              <w:t>地域密着型通所介護の稼働率　【更新】</w:t>
            </w:r>
          </w:p>
        </w:tc>
        <w:tc>
          <w:tcPr>
            <w:tcW w:type="dxa" w:w="5216"/>
          </w:tcPr>
          <w:p>
            <w:r/>
            <w:r>
              <w:rPr>
                <w:rFonts w:ascii="游ゴシック" w:hAnsi="游ゴシック" w:eastAsia="游ゴシック"/>
                <w:sz w:val="18"/>
              </w:rPr>
              <w:t>第1号被保険者1人あたり給付月額が平成30年度777円から令和7年度567円へ27.0％低下しております（見える化D13-z）。このたびK3gをご提供いただき、事業所数は平成28年度の制度創設時から令和6年度まで4で不変であること、M2mにより従事者数もむしろ増加していること（平成30年度21人→令和6年度25人）が確認できました。したがって給付低下は休廃止によるものではなく、稼働率の低下によるものと考えられます。4事業所の定員・登録者数・延べ利用者数（令和2〜7年度）をご提供いただけますでしょうか。基本指針の新別表 七「稼働率」への対応も兼ねます。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4</w:t>
            </w:r>
          </w:p>
        </w:tc>
        <w:tc>
          <w:tcPr>
            <w:tcW w:type="dxa" w:w="2041"/>
          </w:tcPr>
          <w:p>
            <w:r/>
            <w:r>
              <w:rPr>
                <w:rFonts w:ascii="游ゴシック" w:hAnsi="游ゴシック" w:eastAsia="游ゴシック"/>
                <w:sz w:val="18"/>
              </w:rPr>
              <w:t>認知症の受け皿の減少経緯　【更新】</w:t>
            </w:r>
          </w:p>
        </w:tc>
        <w:tc>
          <w:tcPr>
            <w:tcW w:type="dxa" w:w="5216"/>
          </w:tcPr>
          <w:p>
            <w:r/>
            <w:r>
              <w:rPr>
                <w:rFonts w:ascii="游ゴシック" w:hAnsi="游ゴシック" w:eastAsia="游ゴシック"/>
                <w:sz w:val="18"/>
              </w:rPr>
              <w:t>認知症対応型通所介護が平成26年度まで2事業所ありましたが平成27年度以降ゼロとなり、認知症対応型共同生活介護も令和4年度に6事業所から5事業所へ減少しております（見える化K3o・K2c）。廃止・転換の経緯と、利用者の受け皿がどこへ移ったかをご教示ください。第5章の認知症施策の記述の前提となります。なお24時間対応サービス（定期巡回・夜間対応・看多機）の整備方針は上記１(8)でご決定をお願いしており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5</w:t>
            </w:r>
          </w:p>
        </w:tc>
        <w:tc>
          <w:tcPr>
            <w:tcW w:type="dxa" w:w="2041"/>
          </w:tcPr>
          <w:p>
            <w:r/>
            <w:r>
              <w:rPr>
                <w:rFonts w:ascii="游ゴシック" w:hAnsi="游ゴシック" w:eastAsia="游ゴシック"/>
                <w:sz w:val="18"/>
              </w:rPr>
              <w:t>訪問介護の利用強度　【新規】</w:t>
            </w:r>
          </w:p>
        </w:tc>
        <w:tc>
          <w:tcPr>
            <w:tcW w:type="dxa" w:w="5216"/>
          </w:tcPr>
          <w:p>
            <w:r/>
            <w:r>
              <w:rPr>
                <w:rFonts w:ascii="游ゴシック" w:hAnsi="游ゴシック" w:eastAsia="游ゴシック"/>
                <w:sz w:val="18"/>
              </w:rPr>
              <w:t>受給者1人あたり利用回数が令和7年度55.4回で全国29.7回の1.87倍、給付月額133,685円は全国86,541円の1.54倍です。一方、通所介護の給付月額は全国の0.74倍です。訪問介護に偏る要因（通所の送迎距離、事業所の分布、ケアプランの傾向等）をご教示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6</w:t>
            </w:r>
          </w:p>
        </w:tc>
        <w:tc>
          <w:tcPr>
            <w:tcW w:type="dxa" w:w="2041"/>
          </w:tcPr>
          <w:p>
            <w:r/>
            <w:r>
              <w:rPr>
                <w:rFonts w:ascii="游ゴシック" w:hAnsi="游ゴシック" w:eastAsia="游ゴシック"/>
                <w:sz w:val="18"/>
              </w:rPr>
              <w:t>介護給付費準備基金の残高　【新規】</w:t>
            </w:r>
          </w:p>
        </w:tc>
        <w:tc>
          <w:tcPr>
            <w:tcW w:type="dxa" w:w="5216"/>
          </w:tcPr>
          <w:p>
            <w:r/>
            <w:r>
              <w:rPr>
                <w:rFonts w:ascii="游ゴシック" w:hAnsi="游ゴシック" w:eastAsia="游ゴシック"/>
                <w:sz w:val="18"/>
              </w:rPr>
              <w:t>必要保険料月額は令和6年度6,063円・令和7年度6,352円で、いずれも基準額6,400円を下回っており、2年で約42百万円（概算）の剰余が生じております。第9期計画が予定した取崩40,000,000円の執行状況と基金残高の推移をご教示ください。第10期の保険料試算の前提となり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7</w:t>
            </w:r>
          </w:p>
        </w:tc>
        <w:tc>
          <w:tcPr>
            <w:tcW w:type="dxa" w:w="2041"/>
          </w:tcPr>
          <w:p>
            <w:r/>
            <w:r>
              <w:rPr>
                <w:rFonts w:ascii="游ゴシック" w:hAnsi="游ゴシック" w:eastAsia="游ゴシック"/>
                <w:sz w:val="18"/>
              </w:rPr>
              <w:t>調査対象者の範囲</w:t>
            </w:r>
          </w:p>
        </w:tc>
        <w:tc>
          <w:tcPr>
            <w:tcW w:type="dxa" w:w="5216"/>
          </w:tcPr>
          <w:p>
            <w:r/>
            <w:r>
              <w:rPr>
                <w:rFonts w:ascii="游ゴシック" w:hAnsi="游ゴシック" w:eastAsia="游ゴシック"/>
                <w:sz w:val="18"/>
              </w:rPr>
              <w:t>令和7年度 健康とくらしの調査の報告書に「調査対象者に要介護者、要支援者、事業対象者を含んでいる保険者がある」との記述があります。当広域連合が該当するかご確認ください。対象者数の逆算（9,090人－1,984人＝7,106人に対し対象7,121人）からは非認定者が対象と推定されますが、第9期（令和4年）との比較可否に影響し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8</w:t>
            </w:r>
          </w:p>
        </w:tc>
        <w:tc>
          <w:tcPr>
            <w:tcW w:type="dxa" w:w="2041"/>
          </w:tcPr>
          <w:p>
            <w:r/>
            <w:r>
              <w:rPr>
                <w:rFonts w:ascii="游ゴシック" w:hAnsi="游ゴシック" w:eastAsia="游ゴシック"/>
                <w:sz w:val="18"/>
              </w:rPr>
              <w:t>在宅介護実態調査の実施予定と回答数</w:t>
            </w:r>
          </w:p>
        </w:tc>
        <w:tc>
          <w:tcPr>
            <w:tcW w:type="dxa" w:w="5216"/>
          </w:tcPr>
          <w:p>
            <w:r/>
            <w:r>
              <w:rPr>
                <w:rFonts w:ascii="游ゴシック" w:hAnsi="游ゴシック" w:eastAsia="游ゴシック"/>
                <w:sz w:val="18"/>
              </w:rPr>
              <w:t>仕様書の対象調査に在宅介護実態調査が含まれておりません。第10期での実施予定の有無をご確認ください。実施されない場合、H07（主介護者の高負担割合）・H08（介護離職懸念）のデータ源を再設計いたします。あわせて第9期の回答数（掲載値から37人と推定）を原票でご確認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9</w:t>
            </w:r>
          </w:p>
        </w:tc>
        <w:tc>
          <w:tcPr>
            <w:tcW w:type="dxa" w:w="2041"/>
          </w:tcPr>
          <w:p>
            <w:r/>
            <w:r>
              <w:rPr>
                <w:rFonts w:ascii="游ゴシック" w:hAnsi="游ゴシック" w:eastAsia="游ゴシック"/>
                <w:sz w:val="18"/>
              </w:rPr>
              <w:t>地域密着型介護老人福祉施設の定員</w:t>
            </w:r>
          </w:p>
        </w:tc>
        <w:tc>
          <w:tcPr>
            <w:tcW w:type="dxa" w:w="5216"/>
          </w:tcPr>
          <w:p>
            <w:r/>
            <w:r>
              <w:rPr>
                <w:rFonts w:ascii="游ゴシック" w:hAnsi="游ゴシック" w:eastAsia="游ゴシック"/>
                <w:sz w:val="18"/>
              </w:rPr>
              <w:t>見える化D25では平成30年度から令和7年度まで62人ですが、第9期計画の掲載は63人（美瑛町43人＝サテライト特養 燈18人＋美瑛慈光園25人、東神楽町20人＝アゼリアハイツ）です。また美瑛町の計画は「特別養護老人ホーム2か所 利用定員42人/月」としております。定員と月間利用者数の別を含めご教示ください。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10</w:t>
            </w:r>
          </w:p>
        </w:tc>
        <w:tc>
          <w:tcPr>
            <w:tcW w:type="dxa" w:w="2041"/>
          </w:tcPr>
          <w:p>
            <w:r/>
            <w:r>
              <w:rPr>
                <w:rFonts w:ascii="游ゴシック" w:hAnsi="游ゴシック" w:eastAsia="游ゴシック"/>
                <w:sz w:val="18"/>
              </w:rPr>
              <w:t>高齢夫婦世帯の定義</w:t>
            </w:r>
          </w:p>
        </w:tc>
        <w:tc>
          <w:tcPr>
            <w:tcW w:type="dxa" w:w="5216"/>
          </w:tcPr>
          <w:p>
            <w:r/>
            <w:r>
              <w:rPr>
                <w:rFonts w:ascii="游ゴシック" w:hAnsi="游ゴシック" w:eastAsia="游ゴシック"/>
                <w:sz w:val="18"/>
              </w:rPr>
              <w:t>見える化A8と第9期計画で高齢夫婦世帯数のみ差があります（平成27年82世帯、令和2年177世帯）。一般世帯・高齢者を含む世帯・高齢独居世帯は町別まで完全に一致しております。「高齢夫婦世帯」と「高齢者夫婦世帯」の定義差（夫婦双方が65歳以上か、一方が65歳以上か）についてご確認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11</w:t>
            </w:r>
          </w:p>
        </w:tc>
        <w:tc>
          <w:tcPr>
            <w:tcW w:type="dxa" w:w="2041"/>
          </w:tcPr>
          <w:p>
            <w:r/>
            <w:r>
              <w:rPr>
                <w:rFonts w:ascii="游ゴシック" w:hAnsi="游ゴシック" w:eastAsia="游ゴシック"/>
                <w:sz w:val="18"/>
              </w:rPr>
              <w:t>給付適正化計画の期数</w:t>
            </w:r>
          </w:p>
        </w:tc>
        <w:tc>
          <w:tcPr>
            <w:tcW w:type="dxa" w:w="5216"/>
          </w:tcPr>
          <w:p>
            <w:r/>
            <w:r>
              <w:rPr>
                <w:rFonts w:ascii="游ゴシック" w:hAnsi="游ゴシック" w:eastAsia="游ゴシック"/>
                <w:sz w:val="18"/>
              </w:rPr>
              <w:t>第9期計画では「第6期給付適正化計画」と記載されております。第10期計画期間に対応するのは第7期という理解でよろしいか、北海道の給付適正化計画の期別に照らしてご確認ください。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12</w:t>
            </w:r>
          </w:p>
        </w:tc>
        <w:tc>
          <w:tcPr>
            <w:tcW w:type="dxa" w:w="2041"/>
          </w:tcPr>
          <w:p>
            <w:r/>
            <w:r>
              <w:rPr>
                <w:rFonts w:ascii="游ゴシック" w:hAnsi="游ゴシック" w:eastAsia="游ゴシック"/>
                <w:sz w:val="18"/>
              </w:rPr>
              <w:t>給付費の区分定義</w:t>
            </w:r>
          </w:p>
        </w:tc>
        <w:tc>
          <w:tcPr>
            <w:tcW w:type="dxa" w:w="5216"/>
          </w:tcPr>
          <w:p>
            <w:r/>
            <w:r>
              <w:rPr>
                <w:rFonts w:ascii="游ゴシック" w:hAnsi="游ゴシック" w:eastAsia="游ゴシック"/>
                <w:sz w:val="18"/>
              </w:rPr>
              <w:t>自然体推計の総給付費9,267.4百万円について、サービス類型別の内訳（施設2,691.5百万円）と見える化3区分の内訳（施設3,416.0百万円）が異なります。3区分の「施設」に地域密着型介護老人福祉施設が、「居住系」に認知症対応型共同生活介護が含まれ、特定施設は「居宅」に計上されるという理解でよろしいか、原票にてご確認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13</w:t>
            </w:r>
          </w:p>
        </w:tc>
        <w:tc>
          <w:tcPr>
            <w:tcW w:type="dxa" w:w="2041"/>
          </w:tcPr>
          <w:p>
            <w:r/>
            <w:r>
              <w:rPr>
                <w:rFonts w:ascii="游ゴシック" w:hAnsi="游ゴシック" w:eastAsia="游ゴシック"/>
                <w:sz w:val="18"/>
              </w:rPr>
              <w:t>介護予防支援の指定状況　【新規】</w:t>
            </w:r>
          </w:p>
        </w:tc>
        <w:tc>
          <w:tcPr>
            <w:tcW w:type="dxa" w:w="5216"/>
          </w:tcPr>
          <w:p>
            <w:r/>
            <w:r>
              <w:rPr>
                <w:rFonts w:ascii="游ゴシック" w:hAnsi="游ゴシック" w:eastAsia="游ゴシック"/>
                <w:sz w:val="18"/>
              </w:rPr>
              <w:t>第10期基本指針案は地域包括支援センターと居宅介護支援事業所の連携・役割分担を計画の記載事項としております。要支援者の介護予防ケアマネジメントについて指定を受けた居宅介護支援事業所の数と、3町の地域包括支援センターとの役割分担の現況をご教示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14</w:t>
            </w:r>
          </w:p>
        </w:tc>
        <w:tc>
          <w:tcPr>
            <w:tcW w:type="dxa" w:w="2041"/>
          </w:tcPr>
          <w:p>
            <w:r/>
            <w:r>
              <w:rPr>
                <w:rFonts w:ascii="游ゴシック" w:hAnsi="游ゴシック" w:eastAsia="游ゴシック"/>
                <w:sz w:val="18"/>
              </w:rPr>
              <w:t>計画書の分量配分</w:t>
            </w:r>
          </w:p>
        </w:tc>
        <w:tc>
          <w:tcPr>
            <w:tcW w:type="dxa" w:w="5216"/>
          </w:tcPr>
          <w:p>
            <w:r/>
            <w:r>
              <w:rPr>
                <w:rFonts w:ascii="游ゴシック" w:hAnsi="游ゴシック" w:eastAsia="游ゴシック"/>
                <w:sz w:val="18"/>
              </w:rPr>
              <w:t>成果品仕様は本文約100頁です。第2章（現状分析）に何頁を配分するか目安をご教示ください。第9期計画では第2章に約40頁を充てております。図表集は全104点を作図済みで、うち本文掲載を想定しているものが91点で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15</w:t>
            </w:r>
          </w:p>
        </w:tc>
        <w:tc>
          <w:tcPr>
            <w:tcW w:type="dxa" w:w="2041"/>
          </w:tcPr>
          <w:p>
            <w:r/>
            <w:r>
              <w:rPr>
                <w:rFonts w:ascii="游ゴシック" w:hAnsi="游ゴシック" w:eastAsia="游ゴシック"/>
                <w:sz w:val="18"/>
              </w:rPr>
              <w:t>工程の段階承認</w:t>
            </w:r>
          </w:p>
        </w:tc>
        <w:tc>
          <w:tcPr>
            <w:tcW w:type="dxa" w:w="5216"/>
          </w:tcPr>
          <w:p>
            <w:r/>
            <w:r>
              <w:rPr>
                <w:rFonts w:ascii="游ゴシック" w:hAnsi="游ゴシック" w:eastAsia="游ゴシック"/>
                <w:sz w:val="18"/>
              </w:rPr>
              <w:t>仕様書に「各工程終了後、成果物を提出し、発注者の確認を受けた上で次工程へ進む」とあります。確認に要する標準日数と、人口推計・現状分析を9月に前倒しできるかご教示ください。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16</w:t>
            </w:r>
          </w:p>
        </w:tc>
        <w:tc>
          <w:tcPr>
            <w:tcW w:type="dxa" w:w="2041"/>
          </w:tcPr>
          <w:p>
            <w:r/>
            <w:r>
              <w:rPr>
                <w:rFonts w:ascii="游ゴシック" w:hAnsi="游ゴシック" w:eastAsia="游ゴシック"/>
                <w:sz w:val="18"/>
              </w:rPr>
              <w:t>H09・H10の業務記録の様式　【新規】</w:t>
            </w:r>
          </w:p>
        </w:tc>
        <w:tc>
          <w:tcPr>
            <w:tcW w:type="dxa" w:w="5216"/>
          </w:tcPr>
          <w:p>
            <w:r/>
            <w:r>
              <w:rPr>
                <w:rFonts w:ascii="游ゴシック" w:hAnsi="游ゴシック" w:eastAsia="游ゴシック"/>
                <w:sz w:val="18"/>
              </w:rPr>
              <w:t>H09（退院時支援調整実施率）とH10（認知症相談から支援接続までの適時率）は、3町の地域包括支援センターの業務記録をデータ源とします。3町の記録様式が統一されているか、H10の「標準日数」の定義があるかをご確認ください。統一されていない場合は、令和9年度は様式整備を管理指標とし、基準値の設定を令和10年度からとする段階設定を提案いたし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17</w:t>
            </w:r>
          </w:p>
        </w:tc>
        <w:tc>
          <w:tcPr>
            <w:tcW w:type="dxa" w:w="2041"/>
          </w:tcPr>
          <w:p>
            <w:r/>
            <w:r>
              <w:rPr>
                <w:rFonts w:ascii="游ゴシック" w:hAnsi="游ゴシック" w:eastAsia="游ゴシック"/>
                <w:sz w:val="18"/>
              </w:rPr>
              <w:t>H13・H14の定義変更　【更新】</w:t>
            </w:r>
          </w:p>
        </w:tc>
        <w:tc>
          <w:tcPr>
            <w:tcW w:type="dxa" w:w="5216"/>
          </w:tcPr>
          <w:p>
            <w:r/>
            <w:r>
              <w:rPr>
                <w:rFonts w:ascii="游ゴシック" w:hAnsi="游ゴシック" w:eastAsia="游ゴシック"/>
                <w:sz w:val="18"/>
              </w:rPr>
              <w:t>H13（職種別欠員率）は「必要常勤換算数」を必要としますが、そのデータ源であった見える化のH1・H2（介護人材の必要数）はデータ登録がない旨をご教示いただきました。必要数が得られない以上、欠員率は算定できません。一方、M2-a〜mをご提供いただき、職種別従事者数の推移が把握できるようになりました（介護老人福祉施設では准看護師が平成29年度7人→令和6年度3人、生活相談員5人→3人、機能訓練指導員2人→1人）。H13を「職種別従事者数（認定者1万対）の推移」へ、H14を北海道と同じ「採用率と離職率の差」（第9期の介護人材実態調査の採用者数・退職者数から算定）へ定義変更することをご検討ください。北海道の第9期評価指標⑥と接続でき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18</w:t>
            </w:r>
          </w:p>
        </w:tc>
        <w:tc>
          <w:tcPr>
            <w:tcW w:type="dxa" w:w="2041"/>
          </w:tcPr>
          <w:p>
            <w:r/>
            <w:r>
              <w:rPr>
                <w:rFonts w:ascii="游ゴシック" w:hAnsi="游ゴシック" w:eastAsia="游ゴシック"/>
                <w:sz w:val="18"/>
              </w:rPr>
              <w:t>新規認定者数の抽出　【新規】</w:t>
            </w:r>
          </w:p>
        </w:tc>
        <w:tc>
          <w:tcPr>
            <w:tcW w:type="dxa" w:w="5216"/>
          </w:tcPr>
          <w:p>
            <w:r/>
            <w:r>
              <w:rPr>
                <w:rFonts w:ascii="游ゴシック" w:hAnsi="游ゴシック" w:eastAsia="游ゴシック"/>
                <w:sz w:val="18"/>
              </w:rPr>
              <w:t>H03（75歳以上新規認定率）は補完KPIですが、見える化に新規認定者数の系列がなく、認定台帳からの抽出が必要です。年度別・年齢階級別の新規認定者数を抽出できるかご確認ください。</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19</w:t>
            </w:r>
          </w:p>
        </w:tc>
        <w:tc>
          <w:tcPr>
            <w:tcW w:type="dxa" w:w="2041"/>
          </w:tcPr>
          <w:p>
            <w:r/>
            <w:r>
              <w:rPr>
                <w:rFonts w:ascii="游ゴシック" w:hAnsi="游ゴシック" w:eastAsia="游ゴシック"/>
                <w:sz w:val="18"/>
              </w:rPr>
              <w:t>H16の指標設計　【新規】</w:t>
            </w:r>
          </w:p>
        </w:tc>
        <w:tc>
          <w:tcPr>
            <w:tcW w:type="dxa" w:w="5216"/>
          </w:tcPr>
          <w:p>
            <w:r/>
            <w:r>
              <w:rPr>
                <w:rFonts w:ascii="游ゴシック" w:hAnsi="游ゴシック" w:eastAsia="游ゴシック"/>
                <w:sz w:val="18"/>
              </w:rPr>
              <w:t>H16（災害・感染症時の必須サービス継続率）は実績指標のため、計画期間中に事象がなければ測定機会自体が生じません。またデータ源とされる事業所実態調査が仕様書の対象調査に含まれていません。体制指標（事業所のBCP策定率、訓練実施率、相互応援協定の締結数）への組替えをご検討ください。BCPの策定は令和6年度から義務化されており、調査を経ずに把握でき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20</w:t>
            </w:r>
          </w:p>
        </w:tc>
        <w:tc>
          <w:tcPr>
            <w:tcW w:type="dxa" w:w="2041"/>
          </w:tcPr>
          <w:p>
            <w:r/>
            <w:r>
              <w:rPr>
                <w:rFonts w:ascii="游ゴシック" w:hAnsi="游ゴシック" w:eastAsia="游ゴシック"/>
                <w:sz w:val="18"/>
              </w:rPr>
              <w:t>交付金評価で0点となっている10項目　【新規】</w:t>
            </w:r>
          </w:p>
        </w:tc>
        <w:tc>
          <w:tcPr>
            <w:tcW w:type="dxa" w:w="5216"/>
          </w:tcPr>
          <w:p>
            <w:r/>
            <w:r>
              <w:rPr>
                <w:rFonts w:ascii="游ゴシック" w:hAnsi="游ゴシック" w:eastAsia="游ゴシック"/>
                <w:sz w:val="18"/>
              </w:rPr>
              <w:t>保険者機能強化推進交付金等の評価（令和5年調査）で、次の10項目が0点となっております。①評価結果を関係者間で共有し自立支援等に資する取組を検討　②今年度の評価得点　③PFSの活用　④ケアプラン点検の実施割合　⑤医療情報との突合の実施割合　⑥介護の仕事の魅力を伝達するための取組　⑦介護人材の定着・資質向上に関する取組　⑧認知症サポーターステップアップ講座　⑨入退院支援の実施状況　⑩人生の最終段階における支援の実施状況。それぞれ、取組自体を行っていないのか、取組はあるが要件を満たさないのかをご教示ください。特に④⑤は北海道の第9期評価指標⑧「給付適正化主要3事業の実施率100％」に関わり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21</w:t>
            </w:r>
          </w:p>
        </w:tc>
        <w:tc>
          <w:tcPr>
            <w:tcW w:type="dxa" w:w="2041"/>
          </w:tcPr>
          <w:p>
            <w:r/>
            <w:r>
              <w:rPr>
                <w:rFonts w:ascii="游ゴシック" w:hAnsi="游ゴシック" w:eastAsia="游ゴシック"/>
                <w:sz w:val="18"/>
              </w:rPr>
              <w:t>交付金評価の活動指標群が低い要因　【新規】</w:t>
            </w:r>
          </w:p>
        </w:tc>
        <w:tc>
          <w:tcPr>
            <w:tcW w:type="dxa" w:w="5216"/>
          </w:tcPr>
          <w:p>
            <w:r/>
            <w:r>
              <w:rPr>
                <w:rFonts w:ascii="游ゴシック" w:hAnsi="游ゴシック" w:eastAsia="游ゴシック"/>
                <w:sz w:val="18"/>
              </w:rPr>
              <w:t>指標群別の得点は、成果指標群が全国平均の123.5％と高い一方、活動指標群は推進交付金で全国の23.2％、支援交付金で55.6％にとどまっております。取組の結果（要介護度の変化等）は全国上位である一方、その結果を生んだ活動が国の様式で記録・報告されていない状態と読み取れます。評価調書の作成体制（担当課、3町との分担、根拠資料の保管）をご教示ください。第10期でアウトプット指標を整備すれば、計画の実効性と交付金得点の双方が改善すると考えます。</w:t>
            </w:r>
          </w:p>
        </w:tc>
        <w:tc>
          <w:tcPr>
            <w:tcW w:type="dxa" w:w="1587"/>
          </w:tcPr>
          <w:p>
            <w:r/>
            <w:r>
              <w:rPr>
                <w:rFonts w:ascii="游ゴシック" w:hAnsi="游ゴシック" w:eastAsia="游ゴシック"/>
                <w:sz w:val="18"/>
              </w:rPr>
            </w:r>
          </w:p>
        </w:tc>
      </w:tr>
      <w:tr>
        <w:tc>
          <w:tcPr>
            <w:tcW w:type="dxa" w:w="567"/>
          </w:tcPr>
          <w:p>
            <w:r/>
            <w:r>
              <w:rPr>
                <w:rFonts w:ascii="游ゴシック" w:hAnsi="游ゴシック" w:eastAsia="游ゴシック"/>
                <w:sz w:val="18"/>
              </w:rPr>
              <w:t>22</w:t>
            </w:r>
          </w:p>
        </w:tc>
        <w:tc>
          <w:tcPr>
            <w:tcW w:type="dxa" w:w="2041"/>
          </w:tcPr>
          <w:p>
            <w:r/>
            <w:r>
              <w:rPr>
                <w:rFonts w:ascii="游ゴシック" w:hAnsi="游ゴシック" w:eastAsia="游ゴシック"/>
                <w:sz w:val="18"/>
              </w:rPr>
              <w:t>訪問介護事業所の3事業所増　【新規】</w:t>
            </w:r>
          </w:p>
        </w:tc>
        <w:tc>
          <w:tcPr>
            <w:tcW w:type="dxa" w:w="5216"/>
          </w:tcPr>
          <w:p>
            <w:r/>
            <w:r>
              <w:rPr>
                <w:rFonts w:ascii="游ゴシック" w:hAnsi="游ゴシック" w:eastAsia="游ゴシック"/>
                <w:sz w:val="18"/>
              </w:rPr>
              <w:t>訪問介護の事業所数が令和5年度10から令和6年度13へ3事業所増加しております（見える化K3a）。新規指定の内容（所在町、母体、サービス提供範囲）をご教示ください。受給者1人あたり利用回数が全国の1.87倍という状況（確認事項5）との関係、及び第6章の見込量への反映のために必要です。</w:t>
            </w:r>
          </w:p>
        </w:tc>
        <w:tc>
          <w:tcPr>
            <w:tcW w:type="dxa" w:w="1587"/>
          </w:tcPr>
          <w:p>
            <w:r/>
            <w:r>
              <w:rPr>
                <w:rFonts w:ascii="游ゴシック" w:hAnsi="游ゴシック" w:eastAsia="游ゴシック"/>
                <w:sz w:val="18"/>
              </w:rPr>
            </w:r>
          </w:p>
        </w:tc>
      </w:tr>
    </w:tbl>
    <w:p>
      <w:r>
        <w:br w:type="page"/>
      </w:r>
    </w:p>
    <w:p>
      <w:pPr>
        <w:spacing w:after="120" w:before="200"/>
      </w:pPr>
      <w:r>
        <w:rPr>
          <w:rFonts w:ascii="游ゴシック" w:hAnsi="游ゴシック" w:eastAsia="游ゴシック"/>
          <w:b/>
          <w:sz w:val="24"/>
        </w:rPr>
        <w:t>３　ご提供をお願いする資料（24件）</w:t>
      </w:r>
    </w:p>
    <w:p>
      <w:pPr>
        <w:spacing w:after="80"/>
      </w:pPr>
      <w:r>
        <w:rPr>
          <w:rFonts w:ascii="游ゴシック" w:hAnsi="游ゴシック" w:eastAsia="游ゴシック"/>
          <w:b w:val="0"/>
          <w:sz w:val="19"/>
        </w:rPr>
        <w:t>計画の確定に必要な資料です。優先度の高いものから記載しております。</w:t>
      </w:r>
    </w:p>
    <w:p>
      <w:pPr>
        <w:spacing w:after="80"/>
      </w:pPr>
      <w:r>
        <w:rPr>
          <w:rFonts w:ascii="游ゴシック" w:hAnsi="游ゴシック" w:eastAsia="游ゴシック"/>
          <w:b w:val="0"/>
          <w:sz w:val="19"/>
        </w:rPr>
        <w:t>なお、令和8年7月29日に見える化システムのK系列（サービス提供事業所数　全28種別）、M系列（従事者数　13サービス）、W系列（保険者機能強化推進交付金等の評価指標）をご提供いただき、あわせてδ系列（介護サービス自給率）、H1・H2（介護人材の必要数）、J系列（認知症）、L系列（医療機関・看取り・診療報酬側の連携）についてデータ登録がなく出力できない旨をご教示いただきました。これを踏まえ、下表は代替手段の確保を中心に改めております。</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850"/>
          </w:tcPr>
          <w:p>
            <w:r/>
            <w:r>
              <w:rPr>
                <w:rFonts w:ascii="游ゴシック" w:hAnsi="游ゴシック" w:eastAsia="游ゴシック"/>
                <w:b/>
                <w:sz w:val="18"/>
              </w:rPr>
              <w:t>優先</w:t>
            </w:r>
          </w:p>
        </w:tc>
        <w:tc>
          <w:tcPr>
            <w:tcW w:type="dxa" w:w="3685"/>
          </w:tcPr>
          <w:p>
            <w:r/>
            <w:r>
              <w:rPr>
                <w:rFonts w:ascii="游ゴシック" w:hAnsi="游ゴシック" w:eastAsia="游ゴシック"/>
                <w:b/>
                <w:sz w:val="18"/>
              </w:rPr>
              <w:t>資料</w:t>
            </w:r>
          </w:p>
        </w:tc>
        <w:tc>
          <w:tcPr>
            <w:tcW w:type="dxa" w:w="3118"/>
          </w:tcPr>
          <w:p>
            <w:r/>
            <w:r>
              <w:rPr>
                <w:rFonts w:ascii="游ゴシック" w:hAnsi="游ゴシック" w:eastAsia="游ゴシック"/>
                <w:b/>
                <w:sz w:val="18"/>
              </w:rPr>
              <w:t>用途</w:t>
            </w:r>
          </w:p>
        </w:tc>
        <w:tc>
          <w:tcPr>
            <w:tcW w:type="dxa" w:w="1757"/>
          </w:tcPr>
          <w:p>
            <w:r/>
            <w:r>
              <w:rPr>
                <w:rFonts w:ascii="游ゴシック" w:hAnsi="游ゴシック" w:eastAsia="游ゴシック"/>
                <w:b/>
                <w:sz w:val="18"/>
              </w:rPr>
              <w:t>希望時期</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国民健康保険団体連合会から保険者に提供される給付実績情報（介護給付費明細書の事業所番号付きデータ）及び指定事業所台帳（事業所番号・所在地）</w:t>
            </w:r>
          </w:p>
        </w:tc>
        <w:tc>
          <w:tcPr>
            <w:tcW w:type="dxa" w:w="3118"/>
          </w:tcPr>
          <w:p>
            <w:r/>
            <w:r>
              <w:rPr>
                <w:rFonts w:ascii="游ゴシック" w:hAnsi="游ゴシック" w:eastAsia="游ゴシック"/>
                <w:sz w:val="18"/>
              </w:rPr>
              <w:t>介護サービス自給率の算定（見える化δ2・δ3が提供不可のため）。3町の旭川市依存度の把握、基本指針の新別表 五への対応。見える化と同じ定義にするため、毎年9月サービス提供分で集計いたします。なお事業所数（K系列）の受領により、定期巡回・夜間対応・看多機ほか11種別は域内事業所がゼロであり自給率が構造的に0％であることは特定済みです</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保険者機能強化推進交付金・介護保険保険者努力支援交付金の評価調書（令和4〜6年度分。広域連合又は3町が国へ提出したもの）</w:t>
            </w:r>
          </w:p>
        </w:tc>
        <w:tc>
          <w:tcPr>
            <w:tcW w:type="dxa" w:w="3118"/>
          </w:tcPr>
          <w:p>
            <w:r/>
            <w:r>
              <w:rPr>
                <w:rFonts w:ascii="游ゴシック" w:hAnsi="游ゴシック" w:eastAsia="游ゴシック"/>
                <w:sz w:val="18"/>
              </w:rPr>
              <w:t>見える化W系列で総合得点332.0点（全国平均422.4点の78.6％）であることを確認いたしましたが、0点となっている10項目について、取組が行われていないのか、取組はあるが要件を満たさないのかを判別するため、評価項目ごとの回答が必要です。第10期のアウトプット指標の設計に直結いたします</w:t>
            </w:r>
          </w:p>
        </w:tc>
        <w:tc>
          <w:tcPr>
            <w:tcW w:type="dxa" w:w="1757"/>
          </w:tcPr>
          <w:p>
            <w:r/>
            <w:r>
              <w:rPr>
                <w:rFonts w:ascii="游ゴシック" w:hAnsi="游ゴシック" w:eastAsia="游ゴシック"/>
                <w:sz w:val="18"/>
              </w:rPr>
              <w:t>第1回委員会前</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地域密着型通所介護4事業所の稼働率（定員・登録者数・延べ利用者数。令和2〜7年度）</w:t>
            </w:r>
          </w:p>
        </w:tc>
        <w:tc>
          <w:tcPr>
            <w:tcW w:type="dxa" w:w="3118"/>
          </w:tcPr>
          <w:p>
            <w:r/>
            <w:r>
              <w:rPr>
                <w:rFonts w:ascii="游ゴシック" w:hAnsi="游ゴシック" w:eastAsia="游ゴシック"/>
                <w:sz w:val="18"/>
              </w:rPr>
              <w:t>給付月額が27.0％低下している一方、事業所数は4で不変、従事者数は増加しているため、稼働率の低下によるものと考えられます。基本指針の新別表 七「稼働率」への対応も兼ねます</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3町の認知症施策の実施状況（認知症初期集中支援チームの訪問実績、認知症地域支援推進員の配置人数と業務内容、認知症カフェの箇所数と参加者数、認知症サポーター数とステップアップ講座の開催状況、チームオレンジの有無。令和2〜7年度）</w:t>
            </w:r>
          </w:p>
        </w:tc>
        <w:tc>
          <w:tcPr>
            <w:tcW w:type="dxa" w:w="3118"/>
          </w:tcPr>
          <w:p>
            <w:r/>
            <w:r>
              <w:rPr>
                <w:rFonts w:ascii="游ゴシック" w:hAnsi="游ゴシック" w:eastAsia="游ゴシック"/>
                <w:sz w:val="18"/>
              </w:rPr>
              <w:t>基本指針の新別表 十一への対応（見える化J系列が提供不可のため）。交付金評価では認知症地域支援推進員の業務の状況が全国の33.9％、認知症サポーター数が41.7％、ステップアップ講座が0点となっております</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介護保険施設・特定施設の入所率（施設別・定員・入所者数。令和2〜7年度）</w:t>
            </w:r>
          </w:p>
        </w:tc>
        <w:tc>
          <w:tcPr>
            <w:tcW w:type="dxa" w:w="3118"/>
          </w:tcPr>
          <w:p>
            <w:r/>
            <w:r>
              <w:rPr>
                <w:rFonts w:ascii="游ゴシック" w:hAnsi="游ゴシック" w:eastAsia="游ゴシック"/>
                <w:sz w:val="18"/>
              </w:rPr>
              <w:t>基本指針の新別表 七「入所率」への対応。見える化の当該指標は令和8年度以降の改修待ちであり、第10期計画の策定に間に合わない可能性があるため、指定台帳又は施設への照会でお願いいたします。認定者504人が未利用である要因の分析（H12の代理指標）に直結いたします</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見える化の再出力①　O1〜O3・O6〜O13（医療介護連携に関する加算等の算定状況　介護報酬側）　計11件</w:t>
            </w:r>
          </w:p>
        </w:tc>
        <w:tc>
          <w:tcPr>
            <w:tcW w:type="dxa" w:w="3118"/>
          </w:tcPr>
          <w:p>
            <w:r/>
            <w:r>
              <w:rPr>
                <w:rFonts w:ascii="游ゴシック" w:hAnsi="游ゴシック" w:eastAsia="游ゴシック"/>
                <w:sz w:val="18"/>
              </w:rPr>
              <w:t>基本指針の新別表 十への対応。O4・O5は受領済みですが、実数が年0〜1人のため単独では指標として安定しません。H09（退院時支援調整実施率）の代替として複数の加算を合成するため、残る11件が必要です。なお診療報酬側のL20〜L26は提供不可と伺っております</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見える化の再出力②　F15〜F25（地域包括支援センターの設置数・3職種別人員体制・地域ケア会議開催回数）、F28〜F40（訪問型サービスA〜D・通所型サービスA〜C・見守り・配食・介護予防ケアマネジメントの実施延べ件数）　計24件</w:t>
            </w:r>
          </w:p>
        </w:tc>
        <w:tc>
          <w:tcPr>
            <w:tcW w:type="dxa" w:w="3118"/>
          </w:tcPr>
          <w:p>
            <w:r/>
            <w:r>
              <w:rPr>
                <w:rFonts w:ascii="游ゴシック" w:hAnsi="游ゴシック" w:eastAsia="游ゴシック"/>
                <w:sz w:val="18"/>
              </w:rPr>
              <w:t>基本指針の新別表 九への対応。北海道の評価指標②「多様な主体による生活支援・通いの場を実施する市町村数」との接続。3町の体制差（東川町は重層的支援推進室に内包）の定量化</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見える化の再出力③　W系列の個別評価項目（市町村評価指標66件。令和4〜6年度分）</w:t>
            </w:r>
          </w:p>
        </w:tc>
        <w:tc>
          <w:tcPr>
            <w:tcW w:type="dxa" w:w="3118"/>
          </w:tcPr>
          <w:p>
            <w:r/>
            <w:r>
              <w:rPr>
                <w:rFonts w:ascii="游ゴシック" w:hAnsi="游ゴシック" w:eastAsia="游ゴシック"/>
                <w:sz w:val="18"/>
              </w:rPr>
              <w:t>受領した20件は総合得点・目標別・指標群別と目標Ⅰ〜Ⅳの内訳です。施策ごとの改善余地を特定するため、評価項目単位の得点が必要です</w:t>
            </w:r>
          </w:p>
        </w:tc>
        <w:tc>
          <w:tcPr>
            <w:tcW w:type="dxa" w:w="1757"/>
          </w:tcPr>
          <w:p>
            <w:r/>
            <w:r>
              <w:rPr>
                <w:rFonts w:ascii="游ゴシック" w:hAnsi="游ゴシック" w:eastAsia="游ゴシック"/>
                <w:sz w:val="18"/>
              </w:rPr>
              <w:t>第1回委員会後</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人口動態統計の市区町村別集計（死亡場所別の死亡数。3町分・平成30〜令和6年）又は3町の死亡診断書・死体検案書の集計</w:t>
            </w:r>
          </w:p>
        </w:tc>
        <w:tc>
          <w:tcPr>
            <w:tcW w:type="dxa" w:w="3118"/>
          </w:tcPr>
          <w:p>
            <w:r/>
            <w:r>
              <w:rPr>
                <w:rFonts w:ascii="游ゴシック" w:hAnsi="游ゴシック" w:eastAsia="游ゴシック"/>
                <w:sz w:val="18"/>
              </w:rPr>
              <w:t>基本指針の新別表 三への対応（見える化L27・L28が提供不可のため）。在宅看取りの実態把握。北海道又は上川保健所経由でのご入手をお願いいたします</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地域包括支援センター運営状況調査の評価結果（3町分）</w:t>
            </w:r>
          </w:p>
        </w:tc>
        <w:tc>
          <w:tcPr>
            <w:tcW w:type="dxa" w:w="3118"/>
          </w:tcPr>
          <w:p>
            <w:r/>
            <w:r>
              <w:rPr>
                <w:rFonts w:ascii="游ゴシック" w:hAnsi="游ゴシック" w:eastAsia="游ゴシック"/>
                <w:sz w:val="18"/>
              </w:rPr>
              <w:t>北海道の評価指標との比較、H09・H10の補完指標。交付金評価では地域包括支援センター事業評価の達成状況が全国の45.1％となっております</w:t>
            </w:r>
          </w:p>
        </w:tc>
        <w:tc>
          <w:tcPr>
            <w:tcW w:type="dxa" w:w="1757"/>
          </w:tcPr>
          <w:p>
            <w:r/>
            <w:r>
              <w:rPr>
                <w:rFonts w:ascii="游ゴシック" w:hAnsi="游ゴシック" w:eastAsia="游ゴシック"/>
                <w:sz w:val="18"/>
              </w:rPr>
              <w:t>第1回委員会後</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日常生活圏域別（美瑛町4圏域を含む6圏域）の人口・認定者・受給者・給付費</w:t>
            </w:r>
          </w:p>
        </w:tc>
        <w:tc>
          <w:tcPr>
            <w:tcW w:type="dxa" w:w="3118"/>
          </w:tcPr>
          <w:p>
            <w:r/>
            <w:r>
              <w:rPr>
                <w:rFonts w:ascii="游ゴシック" w:hAnsi="游ゴシック" w:eastAsia="游ゴシック"/>
                <w:sz w:val="18"/>
              </w:rPr>
              <w:t>仕様書４（４）が求める圏域別の地域特性分析（未着手）</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第9期計画（令和6〜8年度）の施策・事業実績、事業量、対象実人数、予算・決算</w:t>
            </w:r>
          </w:p>
        </w:tc>
        <w:tc>
          <w:tcPr>
            <w:tcW w:type="dxa" w:w="3118"/>
          </w:tcPr>
          <w:p>
            <w:r/>
            <w:r>
              <w:rPr>
                <w:rFonts w:ascii="游ゴシック" w:hAnsi="游ゴシック" w:eastAsia="游ゴシック"/>
                <w:sz w:val="18"/>
              </w:rPr>
              <w:t>第3章の達成度評価、KPI基準値</w:t>
            </w:r>
          </w:p>
        </w:tc>
        <w:tc>
          <w:tcPr>
            <w:tcW w:type="dxa" w:w="1757"/>
          </w:tcPr>
          <w:p>
            <w:r/>
            <w:r>
              <w:rPr>
                <w:rFonts w:ascii="游ゴシック" w:hAnsi="游ゴシック" w:eastAsia="游ゴシック"/>
                <w:sz w:val="18"/>
              </w:rPr>
              <w:t>第1回委員会後</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介護給付費準備基金の残高推移と取崩実績（第7期〜第9期）</w:t>
            </w:r>
          </w:p>
        </w:tc>
        <w:tc>
          <w:tcPr>
            <w:tcW w:type="dxa" w:w="3118"/>
          </w:tcPr>
          <w:p>
            <w:r/>
            <w:r>
              <w:rPr>
                <w:rFonts w:ascii="游ゴシック" w:hAnsi="游ゴシック" w:eastAsia="游ゴシック"/>
                <w:sz w:val="18"/>
              </w:rPr>
              <w:t>第6章の保険料試算、第9期の剰余の帰趨の確認</w:t>
            </w:r>
          </w:p>
        </w:tc>
        <w:tc>
          <w:tcPr>
            <w:tcW w:type="dxa" w:w="1757"/>
          </w:tcPr>
          <w:p>
            <w:r/>
            <w:r>
              <w:rPr>
                <w:rFonts w:ascii="游ゴシック" w:hAnsi="游ゴシック" w:eastAsia="游ゴシック"/>
                <w:sz w:val="18"/>
              </w:rPr>
              <w:t>保険料試算前</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保険料収納率の実績（第7期〜第9期）</w:t>
            </w:r>
          </w:p>
        </w:tc>
        <w:tc>
          <w:tcPr>
            <w:tcW w:type="dxa" w:w="3118"/>
          </w:tcPr>
          <w:p>
            <w:r/>
            <w:r>
              <w:rPr>
                <w:rFonts w:ascii="游ゴシック" w:hAnsi="游ゴシック" w:eastAsia="游ゴシック"/>
                <w:sz w:val="18"/>
              </w:rPr>
              <w:t>第10期の予定収納率99.0％の妥当性検証</w:t>
            </w:r>
          </w:p>
        </w:tc>
        <w:tc>
          <w:tcPr>
            <w:tcW w:type="dxa" w:w="1757"/>
          </w:tcPr>
          <w:p>
            <w:r/>
            <w:r>
              <w:rPr>
                <w:rFonts w:ascii="游ゴシック" w:hAnsi="游ゴシック" w:eastAsia="游ゴシック"/>
                <w:sz w:val="18"/>
              </w:rPr>
              <w:t>保険料試算前</w:t>
            </w:r>
          </w:p>
        </w:tc>
      </w:tr>
      <w:tr>
        <w:tc>
          <w:tcPr>
            <w:tcW w:type="dxa" w:w="850"/>
          </w:tcPr>
          <w:p>
            <w:r/>
            <w:r>
              <w:rPr>
                <w:rFonts w:ascii="游ゴシック" w:hAnsi="游ゴシック" w:eastAsia="游ゴシック"/>
                <w:sz w:val="18"/>
              </w:rPr>
              <w:t>最優先</w:t>
            </w:r>
          </w:p>
        </w:tc>
        <w:tc>
          <w:tcPr>
            <w:tcW w:type="dxa" w:w="3685"/>
          </w:tcPr>
          <w:p>
            <w:r/>
            <w:r>
              <w:rPr>
                <w:rFonts w:ascii="游ゴシック" w:hAnsi="游ゴシック" w:eastAsia="游ゴシック"/>
                <w:sz w:val="18"/>
              </w:rPr>
              <w:t>在宅生活改善調査・居所変更実態調査・介護人材実態調査の確定集計</w:t>
            </w:r>
          </w:p>
        </w:tc>
        <w:tc>
          <w:tcPr>
            <w:tcW w:type="dxa" w:w="3118"/>
          </w:tcPr>
          <w:p>
            <w:r/>
            <w:r>
              <w:rPr>
                <w:rFonts w:ascii="游ゴシック" w:hAnsi="游ゴシック" w:eastAsia="游ゴシック"/>
                <w:sz w:val="18"/>
              </w:rPr>
              <w:t>H06・H07・H11・H13・H14</w:t>
            </w:r>
          </w:p>
        </w:tc>
        <w:tc>
          <w:tcPr>
            <w:tcW w:type="dxa" w:w="1757"/>
          </w:tcPr>
          <w:p>
            <w:r/>
            <w:r>
              <w:rPr>
                <w:rFonts w:ascii="游ゴシック" w:hAnsi="游ゴシック" w:eastAsia="游ゴシック"/>
                <w:sz w:val="18"/>
              </w:rPr>
              <w:t>分析開始前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上川中部高齢者保健福祉圏域に関する北海道の調整方針・圏域連絡協議会の資料</w:t>
            </w:r>
          </w:p>
        </w:tc>
        <w:tc>
          <w:tcPr>
            <w:tcW w:type="dxa" w:w="3118"/>
          </w:tcPr>
          <w:p>
            <w:r/>
            <w:r>
              <w:rPr>
                <w:rFonts w:ascii="游ゴシック" w:hAnsi="游ゴシック" w:eastAsia="游ゴシック"/>
                <w:sz w:val="18"/>
              </w:rPr>
              <w:t>圏域単位のサービス基盤の調整、医療計画との整合</w:t>
            </w:r>
          </w:p>
        </w:tc>
        <w:tc>
          <w:tcPr>
            <w:tcW w:type="dxa" w:w="1757"/>
          </w:tcPr>
          <w:p>
            <w:r/>
            <w:r>
              <w:rPr>
                <w:rFonts w:ascii="游ゴシック" w:hAnsi="游ゴシック" w:eastAsia="游ゴシック"/>
                <w:sz w:val="18"/>
              </w:rPr>
              <w:t>第1回委員会前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死亡場所別の死亡数（自宅・施設・医療機関別）</w:t>
            </w:r>
          </w:p>
        </w:tc>
        <w:tc>
          <w:tcPr>
            <w:tcW w:type="dxa" w:w="3118"/>
          </w:tcPr>
          <w:p>
            <w:r/>
            <w:r>
              <w:rPr>
                <w:rFonts w:ascii="游ゴシック" w:hAnsi="游ゴシック" w:eastAsia="游ゴシック"/>
                <w:sz w:val="18"/>
              </w:rPr>
              <w:t>基本指針の新別表 三 人口動態への対応、在宅看取りの実態把握</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有料老人ホーム・サービス付き高齢者向け住宅の施設数・戸数・定員・入居者数・要介護者の状況</w:t>
            </w:r>
          </w:p>
        </w:tc>
        <w:tc>
          <w:tcPr>
            <w:tcW w:type="dxa" w:w="3118"/>
          </w:tcPr>
          <w:p>
            <w:r/>
            <w:r>
              <w:rPr>
                <w:rFonts w:ascii="游ゴシック" w:hAnsi="游ゴシック" w:eastAsia="游ゴシック"/>
                <w:sz w:val="18"/>
              </w:rPr>
              <w:t>基本指針の新別表 八への対応。第10期は基本的記載事項に「要介護者等の入居状況」が追加される</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所得段階別被保険者数、地域支援事業費の予算前提</w:t>
            </w:r>
          </w:p>
        </w:tc>
        <w:tc>
          <w:tcPr>
            <w:tcW w:type="dxa" w:w="3118"/>
          </w:tcPr>
          <w:p>
            <w:r/>
            <w:r>
              <w:rPr>
                <w:rFonts w:ascii="游ゴシック" w:hAnsi="游ゴシック" w:eastAsia="游ゴシック"/>
                <w:sz w:val="18"/>
              </w:rPr>
              <w:t>第6章の保険料試算</w:t>
            </w:r>
          </w:p>
        </w:tc>
        <w:tc>
          <w:tcPr>
            <w:tcW w:type="dxa" w:w="1757"/>
          </w:tcPr>
          <w:p>
            <w:r/>
            <w:r>
              <w:rPr>
                <w:rFonts w:ascii="游ゴシック" w:hAnsi="游ゴシック" w:eastAsia="游ゴシック"/>
                <w:sz w:val="18"/>
              </w:rPr>
              <w:t>保険料試算前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令和6・7年度の認定者・受給者・給付費（町別・サービス別）</w:t>
            </w:r>
          </w:p>
        </w:tc>
        <w:tc>
          <w:tcPr>
            <w:tcW w:type="dxa" w:w="3118"/>
          </w:tcPr>
          <w:p>
            <w:r/>
            <w:r>
              <w:rPr>
                <w:rFonts w:ascii="游ゴシック" w:hAnsi="游ゴシック" w:eastAsia="游ゴシック"/>
                <w:sz w:val="18"/>
              </w:rPr>
              <w:t>推計の再基準化、町別分析</w:t>
            </w:r>
          </w:p>
        </w:tc>
        <w:tc>
          <w:tcPr>
            <w:tcW w:type="dxa" w:w="1757"/>
          </w:tcPr>
          <w:p>
            <w:r/>
            <w:r>
              <w:rPr>
                <w:rFonts w:ascii="游ゴシック" w:hAnsi="游ゴシック" w:eastAsia="游ゴシック"/>
                <w:sz w:val="18"/>
              </w:rPr>
              <w:t>再基準化前</w:t>
            </w:r>
          </w:p>
        </w:tc>
      </w:tr>
      <w:tr>
        <w:tc>
          <w:tcPr>
            <w:tcW w:type="dxa" w:w="850"/>
          </w:tcPr>
          <w:p>
            <w:r/>
            <w:r>
              <w:rPr>
                <w:rFonts w:ascii="游ゴシック" w:hAnsi="游ゴシック" w:eastAsia="游ゴシック"/>
                <w:sz w:val="18"/>
              </w:rPr>
              <w:t>高</w:t>
            </w:r>
          </w:p>
        </w:tc>
        <w:tc>
          <w:tcPr>
            <w:tcW w:type="dxa" w:w="3685"/>
          </w:tcPr>
          <w:p>
            <w:r/>
            <w:r>
              <w:rPr>
                <w:rFonts w:ascii="游ゴシック" w:hAnsi="游ゴシック" w:eastAsia="游ゴシック"/>
                <w:sz w:val="18"/>
              </w:rPr>
              <w:t>3町の高齢者福祉計画の第10期検討資料、策定工程、担当課</w:t>
            </w:r>
          </w:p>
        </w:tc>
        <w:tc>
          <w:tcPr>
            <w:tcW w:type="dxa" w:w="3118"/>
          </w:tcPr>
          <w:p>
            <w:r/>
            <w:r>
              <w:rPr>
                <w:rFonts w:ascii="游ゴシック" w:hAnsi="游ゴシック" w:eastAsia="游ゴシック"/>
                <w:sz w:val="18"/>
              </w:rPr>
              <w:t>計画間の整合、共通KPIの町別集計</w:t>
            </w:r>
          </w:p>
        </w:tc>
        <w:tc>
          <w:tcPr>
            <w:tcW w:type="dxa" w:w="1757"/>
          </w:tcPr>
          <w:p>
            <w:r/>
            <w:r>
              <w:rPr>
                <w:rFonts w:ascii="游ゴシック" w:hAnsi="游ゴシック" w:eastAsia="游ゴシック"/>
                <w:sz w:val="18"/>
              </w:rPr>
              <w:t>3町調整前</w:t>
            </w:r>
          </w:p>
        </w:tc>
      </w:tr>
      <w:tr>
        <w:tc>
          <w:tcPr>
            <w:tcW w:type="dxa" w:w="850"/>
          </w:tcPr>
          <w:p>
            <w:r/>
            <w:r>
              <w:rPr>
                <w:rFonts w:ascii="游ゴシック" w:hAnsi="游ゴシック" w:eastAsia="游ゴシック"/>
                <w:sz w:val="18"/>
              </w:rPr>
              <w:t>中</w:t>
            </w:r>
          </w:p>
        </w:tc>
        <w:tc>
          <w:tcPr>
            <w:tcW w:type="dxa" w:w="3685"/>
          </w:tcPr>
          <w:p>
            <w:r/>
            <w:r>
              <w:rPr>
                <w:rFonts w:ascii="游ゴシック" w:hAnsi="游ゴシック" w:eastAsia="游ゴシック"/>
                <w:sz w:val="18"/>
              </w:rPr>
              <w:t>住民基本台帳による町別・年齢階級別人口（平成24〜令和7年）</w:t>
            </w:r>
          </w:p>
        </w:tc>
        <w:tc>
          <w:tcPr>
            <w:tcW w:type="dxa" w:w="3118"/>
          </w:tcPr>
          <w:p>
            <w:r/>
            <w:r>
              <w:rPr>
                <w:rFonts w:ascii="游ゴシック" w:hAnsi="游ゴシック" w:eastAsia="游ゴシック"/>
                <w:sz w:val="18"/>
              </w:rPr>
              <w:t>人口推移の町別年齢別グラフ（現在は平成24年と令和5年の2時点のみ）</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中</w:t>
            </w:r>
          </w:p>
        </w:tc>
        <w:tc>
          <w:tcPr>
            <w:tcW w:type="dxa" w:w="3685"/>
          </w:tcPr>
          <w:p>
            <w:r/>
            <w:r>
              <w:rPr>
                <w:rFonts w:ascii="游ゴシック" w:hAnsi="游ゴシック" w:eastAsia="游ゴシック"/>
                <w:sz w:val="18"/>
              </w:rPr>
              <w:t>指定事業所台帳（サービス別・定員・開設廃止年月）</w:t>
            </w:r>
          </w:p>
        </w:tc>
        <w:tc>
          <w:tcPr>
            <w:tcW w:type="dxa" w:w="3118"/>
          </w:tcPr>
          <w:p>
            <w:r/>
            <w:r>
              <w:rPr>
                <w:rFonts w:ascii="游ゴシック" w:hAnsi="游ゴシック" w:eastAsia="游ゴシック"/>
                <w:sz w:val="18"/>
              </w:rPr>
              <w:t>供給の実数の推移、休廃止の把握（確認事項1・3）</w:t>
            </w:r>
          </w:p>
        </w:tc>
        <w:tc>
          <w:tcPr>
            <w:tcW w:type="dxa" w:w="1757"/>
          </w:tcPr>
          <w:p>
            <w:r/>
            <w:r>
              <w:rPr>
                <w:rFonts w:ascii="游ゴシック" w:hAnsi="游ゴシック" w:eastAsia="游ゴシック"/>
                <w:sz w:val="18"/>
              </w:rPr>
              <w:t>現状分析前</w:t>
            </w:r>
          </w:p>
        </w:tc>
      </w:tr>
      <w:tr>
        <w:tc>
          <w:tcPr>
            <w:tcW w:type="dxa" w:w="850"/>
          </w:tcPr>
          <w:p>
            <w:r/>
            <w:r>
              <w:rPr>
                <w:rFonts w:ascii="游ゴシック" w:hAnsi="游ゴシック" w:eastAsia="游ゴシック"/>
                <w:sz w:val="18"/>
              </w:rPr>
              <w:t>中</w:t>
            </w:r>
          </w:p>
        </w:tc>
        <w:tc>
          <w:tcPr>
            <w:tcW w:type="dxa" w:w="3685"/>
          </w:tcPr>
          <w:p>
            <w:r/>
            <w:r>
              <w:rPr>
                <w:rFonts w:ascii="游ゴシック" w:hAnsi="游ゴシック" w:eastAsia="游ゴシック"/>
                <w:sz w:val="18"/>
              </w:rPr>
              <w:t>委員会日程、審議事項、資料提出期限、パブリックコメント期間、町別値・少数値の公表基準</w:t>
            </w:r>
          </w:p>
        </w:tc>
        <w:tc>
          <w:tcPr>
            <w:tcW w:type="dxa" w:w="3118"/>
          </w:tcPr>
          <w:p>
            <w:r/>
            <w:r>
              <w:rPr>
                <w:rFonts w:ascii="游ゴシック" w:hAnsi="游ゴシック" w:eastAsia="游ゴシック"/>
                <w:sz w:val="18"/>
              </w:rPr>
              <w:t>工程表の確定、資料作成</w:t>
            </w:r>
          </w:p>
        </w:tc>
        <w:tc>
          <w:tcPr>
            <w:tcW w:type="dxa" w:w="1757"/>
          </w:tcPr>
          <w:p>
            <w:r/>
            <w:r>
              <w:rPr>
                <w:rFonts w:ascii="游ゴシック" w:hAnsi="游ゴシック" w:eastAsia="游ゴシック"/>
                <w:sz w:val="18"/>
              </w:rPr>
              <w:t>資料作成前</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18"/>
        </w:rPr>
        <w:t>※　第10期介護保険事業（支援）計画の基本指針につきましては、令和8年6月29日の社会保障審議会介護保険部会（第135回）に案が示されておりますが、告示前のため、告示後に改めて記載事項の網羅性を確認いたします。</w:t>
      </w:r>
    </w:p>
    <w:p>
      <w:r>
        <w:br w:type="page"/>
      </w:r>
    </w:p>
    <w:p>
      <w:pPr>
        <w:spacing w:after="120" w:before="200"/>
      </w:pPr>
      <w:r>
        <w:rPr>
          <w:rFonts w:ascii="游ゴシック" w:hAnsi="游ゴシック" w:eastAsia="游ゴシック"/>
          <w:b/>
          <w:sz w:val="24"/>
        </w:rPr>
        <w:t>４　参考：精査及び妥当性検証により確認できた主な事実</w:t>
      </w:r>
    </w:p>
    <w:p>
      <w:pPr>
        <w:spacing w:after="80"/>
      </w:pPr>
      <w:r>
        <w:rPr>
          <w:rFonts w:ascii="游ゴシック" w:hAnsi="游ゴシック" w:eastAsia="游ゴシック"/>
          <w:b w:val="0"/>
          <w:sz w:val="19"/>
        </w:rPr>
        <w:t>ご判断の材料として、これまでに確認できた事実を整理いたします。</w:t>
      </w:r>
    </w:p>
    <w:tbl>
      <w:tblPr>
        <w:tblStyle w:val="TableGrid"/>
        <w:tblW w:type="auto" w:w="0"/>
        <w:jc w:val="center"/>
        <w:tblLook w:firstColumn="1" w:firstRow="1" w:lastColumn="0" w:lastRow="0" w:noHBand="0" w:noVBand="1" w:val="04A0"/>
      </w:tblPr>
      <w:tblGrid>
        <w:gridCol w:w="5100"/>
        <w:gridCol w:w="5100"/>
      </w:tblGrid>
      <w:tr>
        <w:tc>
          <w:tcPr>
            <w:tcW w:type="dxa" w:w="1928"/>
          </w:tcPr>
          <w:p>
            <w:r/>
            <w:r>
              <w:rPr>
                <w:rFonts w:ascii="游ゴシック" w:hAnsi="游ゴシック" w:eastAsia="游ゴシック"/>
                <w:b/>
                <w:sz w:val="18"/>
              </w:rPr>
              <w:t>区分</w:t>
            </w:r>
          </w:p>
        </w:tc>
        <w:tc>
          <w:tcPr>
            <w:tcW w:type="dxa" w:w="7597"/>
          </w:tcPr>
          <w:p>
            <w:r/>
            <w:r>
              <w:rPr>
                <w:rFonts w:ascii="游ゴシック" w:hAnsi="游ゴシック" w:eastAsia="游ゴシック"/>
                <w:b/>
                <w:sz w:val="18"/>
              </w:rPr>
              <w:t>内容</w:t>
            </w:r>
          </w:p>
        </w:tc>
      </w:tr>
      <w:tr>
        <w:tc>
          <w:tcPr>
            <w:tcW w:type="dxa" w:w="1928"/>
          </w:tcPr>
          <w:p>
            <w:r/>
            <w:r>
              <w:rPr>
                <w:rFonts w:ascii="游ゴシック" w:hAnsi="游ゴシック" w:eastAsia="游ゴシック"/>
                <w:sz w:val="18"/>
              </w:rPr>
              <w:t>第9期の代表KPIの達成状況</w:t>
            </w:r>
          </w:p>
        </w:tc>
        <w:tc>
          <w:tcPr>
            <w:tcW w:type="dxa" w:w="7597"/>
          </w:tcPr>
          <w:p>
            <w:r/>
            <w:r>
              <w:rPr>
                <w:rFonts w:ascii="游ゴシック" w:hAnsi="游ゴシック" w:eastAsia="游ゴシック"/>
                <w:sz w:val="18"/>
              </w:rPr>
              <w:t>①要介護認定率は令和8年3月末21.8％で、目標（令和5年度実績20.8％の維持）を1.0ポイント上回り未達です。ただし第9期計画自身の推計（令和8年度22.0％）は0.2ポイント下回っており、平成30年3月末からの上昇幅も大雪＋1.0ポイントに対し北海道・全国はいずれも＋2.2ポイントで、上昇幅は全国の半分にとどまります。②重度要介護認定率は6.3％で目標6.4％・推計7.0％をいずれも下回り達成です。③フレイル該当割合は19.1％で目標18.0％に1.1ポイント未達ですが、基準値18.5％との差＋0.6ポイントは統計的に有意ではありません。④通いの場参加率は8.8％で、国の目標水準8％（令和7年度）は達成し、自主目標9.0％に0.2ポイント未達です。基準値7.3％からの上昇は統計的に有意です。</w:t>
            </w:r>
          </w:p>
        </w:tc>
      </w:tr>
      <w:tr>
        <w:tc>
          <w:tcPr>
            <w:tcW w:type="dxa" w:w="1928"/>
          </w:tcPr>
          <w:p>
            <w:r/>
            <w:r>
              <w:rPr>
                <w:rFonts w:ascii="游ゴシック" w:hAnsi="游ゴシック" w:eastAsia="游ゴシック"/>
                <w:sz w:val="18"/>
              </w:rPr>
              <w:t>給付水準の要因</w:t>
            </w:r>
          </w:p>
        </w:tc>
        <w:tc>
          <w:tcPr>
            <w:tcW w:type="dxa" w:w="7597"/>
          </w:tcPr>
          <w:p>
            <w:r/>
            <w:r>
              <w:rPr>
                <w:rFonts w:ascii="游ゴシック" w:hAnsi="游ゴシック" w:eastAsia="游ゴシック"/>
                <w:sz w:val="18"/>
              </w:rPr>
              <w:t>見える化の地域差指数（令和5年・全国＝1.00）は、第1号1人あたり給付月額1.08、受給率1.08、受給者1人あたり給付月額1.06に対し、性年齢調整後の認定率は1.02です。受給率の内訳（令和7年）は在宅が全国比1.02、施設および居住系が同1.23で、超過分はほぼ全て施設・居住系に由来します。</w:t>
            </w:r>
          </w:p>
        </w:tc>
      </w:tr>
      <w:tr>
        <w:tc>
          <w:tcPr>
            <w:tcW w:type="dxa" w:w="1928"/>
          </w:tcPr>
          <w:p>
            <w:r/>
            <w:r>
              <w:rPr>
                <w:rFonts w:ascii="游ゴシック" w:hAnsi="游ゴシック" w:eastAsia="游ゴシック"/>
                <w:sz w:val="18"/>
              </w:rPr>
              <w:t>施設・居住系受給率の推移</w:t>
            </w:r>
          </w:p>
        </w:tc>
        <w:tc>
          <w:tcPr>
            <w:tcW w:type="dxa" w:w="7597"/>
          </w:tcPr>
          <w:p>
            <w:r/>
            <w:r>
              <w:rPr>
                <w:rFonts w:ascii="游ゴシック" w:hAnsi="游ゴシック" w:eastAsia="游ゴシック"/>
                <w:sz w:val="18"/>
              </w:rPr>
              <w:t>施設および居住系サービス受給率は、大雪が平成27年度6.10％から令和7年度5.25％へ低下する一方、全国は4.03％から4.30％へ上昇しております。全国との差は平成26年度1.98ポイントから令和7年度0.95ポイントへ半減しました。</w:t>
            </w:r>
          </w:p>
        </w:tc>
      </w:tr>
      <w:tr>
        <w:tc>
          <w:tcPr>
            <w:tcW w:type="dxa" w:w="1928"/>
          </w:tcPr>
          <w:p>
            <w:r/>
            <w:r>
              <w:rPr>
                <w:rFonts w:ascii="游ゴシック" w:hAnsi="游ゴシック" w:eastAsia="游ゴシック"/>
                <w:sz w:val="18"/>
              </w:rPr>
              <w:t>サービス別の給付動向</w:t>
            </w:r>
          </w:p>
        </w:tc>
        <w:tc>
          <w:tcPr>
            <w:tcW w:type="dxa" w:w="7597"/>
          </w:tcPr>
          <w:p>
            <w:r/>
            <w:r>
              <w:rPr>
                <w:rFonts w:ascii="游ゴシック" w:hAnsi="游ゴシック" w:eastAsia="游ゴシック"/>
                <w:sz w:val="18"/>
              </w:rPr>
              <w:t>平成30年度から令和7年度の第1号1人あたり給付月額は、訪問看護＋69.2％、訪問介護＋52.8％、通所リハビリテーション＋38.6％、福祉用具貸与＋36.4％と訪問系・用具系が伸びる一方、地域密着型通所介護▲27.0％、認知症対応型共同生活介護▲10.5％、通所介護▲2.7％と通所系・居住系が縮小しております。必要保険料の内訳も在宅＋20.4％、居住系▲7.8％、施設▲2.9％と同じ方向です。</w:t>
            </w:r>
          </w:p>
        </w:tc>
      </w:tr>
      <w:tr>
        <w:tc>
          <w:tcPr>
            <w:tcW w:type="dxa" w:w="1928"/>
          </w:tcPr>
          <w:p>
            <w:r/>
            <w:r>
              <w:rPr>
                <w:rFonts w:ascii="游ゴシック" w:hAnsi="游ゴシック" w:eastAsia="游ゴシック"/>
                <w:sz w:val="18"/>
              </w:rPr>
              <w:t>供給の縮小</w:t>
            </w:r>
          </w:p>
        </w:tc>
        <w:tc>
          <w:tcPr>
            <w:tcW w:type="dxa" w:w="7597"/>
          </w:tcPr>
          <w:p>
            <w:r/>
            <w:r>
              <w:rPr>
                <w:rFonts w:ascii="游ゴシック" w:hAnsi="游ゴシック" w:eastAsia="游ゴシック"/>
                <w:sz w:val="18"/>
              </w:rPr>
              <w:t>要支援・要介護者1人あたり定員は、施設サービス計が平成30年度0.288人から令和7年度0.237人へ17.7％減、うち介護老人福祉施設は0.126人から0.082人へ34.9％減です。居住系計も0.146人から0.131人へ10.3％減です。</w:t>
            </w:r>
          </w:p>
        </w:tc>
      </w:tr>
      <w:tr>
        <w:tc>
          <w:tcPr>
            <w:tcW w:type="dxa" w:w="1928"/>
          </w:tcPr>
          <w:p>
            <w:r/>
            <w:r>
              <w:rPr>
                <w:rFonts w:ascii="游ゴシック" w:hAnsi="游ゴシック" w:eastAsia="游ゴシック"/>
                <w:sz w:val="18"/>
              </w:rPr>
              <w:t>重度者の在宅化</w:t>
            </w:r>
          </w:p>
        </w:tc>
        <w:tc>
          <w:tcPr>
            <w:tcW w:type="dxa" w:w="7597"/>
          </w:tcPr>
          <w:p>
            <w:r/>
            <w:r>
              <w:rPr>
                <w:rFonts w:ascii="游ゴシック" w:hAnsi="游ゴシック" w:eastAsia="游ゴシック"/>
                <w:sz w:val="18"/>
              </w:rPr>
              <w:t>在宅・居住系サービス利用者割合は要介護5が平成26年度31.3％から令和7年度54.6％へ23.3ポイント上昇し、要介護4も42.9％（平成30年度）から49.1％へ上昇しております。全体では73.3％から77.5％です。</w:t>
            </w:r>
          </w:p>
        </w:tc>
      </w:tr>
      <w:tr>
        <w:tc>
          <w:tcPr>
            <w:tcW w:type="dxa" w:w="1928"/>
          </w:tcPr>
          <w:p>
            <w:r/>
            <w:r>
              <w:rPr>
                <w:rFonts w:ascii="游ゴシック" w:hAnsi="游ゴシック" w:eastAsia="游ゴシック"/>
                <w:sz w:val="18"/>
              </w:rPr>
              <w:t>需要推計の精度</w:t>
            </w:r>
          </w:p>
        </w:tc>
        <w:tc>
          <w:tcPr>
            <w:tcW w:type="dxa" w:w="7597"/>
          </w:tcPr>
          <w:p>
            <w:r/>
            <w:r>
              <w:rPr>
                <w:rFonts w:ascii="游ゴシック" w:hAnsi="游ゴシック" w:eastAsia="游ゴシック"/>
                <w:sz w:val="18"/>
              </w:rPr>
              <w:t>第9期計画の要介護認定者数の推計（令和6年度2,020人・令和7年度2,056人）に対し、実績は1,962人・1,984人で、2年連続で計画を2.9％・3.5％下回っております。</w:t>
            </w:r>
          </w:p>
        </w:tc>
      </w:tr>
      <w:tr>
        <w:tc>
          <w:tcPr>
            <w:tcW w:type="dxa" w:w="1928"/>
          </w:tcPr>
          <w:p>
            <w:r/>
            <w:r>
              <w:rPr>
                <w:rFonts w:ascii="游ゴシック" w:hAnsi="游ゴシック" w:eastAsia="游ゴシック"/>
                <w:sz w:val="18"/>
              </w:rPr>
              <w:t>保険料の設定</w:t>
            </w:r>
          </w:p>
        </w:tc>
        <w:tc>
          <w:tcPr>
            <w:tcW w:type="dxa" w:w="7597"/>
          </w:tcPr>
          <w:p>
            <w:r/>
            <w:r>
              <w:rPr>
                <w:rFonts w:ascii="游ゴシック" w:hAnsi="游ゴシック" w:eastAsia="游ゴシック"/>
                <w:sz w:val="18"/>
              </w:rPr>
              <w:t>必要保険料月額と基準額の差は、第7期（平成30〜令和2年度）累計＋159円/月、第8期（令和3〜5年度）累計＋66円/月とほぼ均衡していたのに対し、第9期は令和6年度＋337円/月、令和7年度＋48円/月と剰余方向です。上川管内21保険者の単純平均は5,829.6円、中央値6,000円で、当広域連合の6,400円は高い方から5番目です（素案 表45の記載を再計算して一致を確認）。</w:t>
            </w:r>
          </w:p>
        </w:tc>
      </w:tr>
      <w:tr>
        <w:tc>
          <w:tcPr>
            <w:tcW w:type="dxa" w:w="1928"/>
          </w:tcPr>
          <w:p>
            <w:r/>
            <w:r>
              <w:rPr>
                <w:rFonts w:ascii="游ゴシック" w:hAnsi="游ゴシック" w:eastAsia="游ゴシック"/>
                <w:sz w:val="18"/>
              </w:rPr>
              <w:t>自然体推計</w:t>
            </w:r>
          </w:p>
        </w:tc>
        <w:tc>
          <w:tcPr>
            <w:tcW w:type="dxa" w:w="7597"/>
          </w:tcPr>
          <w:p>
            <w:r/>
            <w:r>
              <w:rPr>
                <w:rFonts w:ascii="游ゴシック" w:hAnsi="游ゴシック" w:eastAsia="游ゴシック"/>
                <w:sz w:val="18"/>
              </w:rPr>
              <w:t>見える化の推計ワークシートと素案の数値が完全に一致することを確認しました（保険料6,237.77円、総給付費R9 3,056.7百万円ほか）。令和7年のサービス種類別の合計（在宅12,558円＋施設および居住系14,327円＝26,885円）も、見える化C1の第1号1人あたり保険給付月額と一致しております。</w:t>
            </w:r>
          </w:p>
        </w:tc>
      </w:tr>
      <w:tr>
        <w:tc>
          <w:tcPr>
            <w:tcW w:type="dxa" w:w="1928"/>
          </w:tcPr>
          <w:p>
            <w:r/>
            <w:r>
              <w:rPr>
                <w:rFonts w:ascii="游ゴシック" w:hAnsi="游ゴシック" w:eastAsia="游ゴシック"/>
                <w:sz w:val="18"/>
              </w:rPr>
              <w:t>担い手の減少</w:t>
            </w:r>
          </w:p>
        </w:tc>
        <w:tc>
          <w:tcPr>
            <w:tcW w:type="dxa" w:w="7597"/>
          </w:tcPr>
          <w:p>
            <w:r/>
            <w:r>
              <w:rPr>
                <w:rFonts w:ascii="游ゴシック" w:hAnsi="游ゴシック" w:eastAsia="游ゴシック"/>
                <w:sz w:val="18"/>
              </w:rPr>
              <w:t>高齢者1人あたり現役世代数は広域連合全体で令和22年1.2人、令和32年1.0人。美瑛町は令和22年1.0人、令和32年0.9人となり高齢者が現役世代を上回ります。</w:t>
            </w:r>
          </w:p>
        </w:tc>
      </w:tr>
      <w:tr>
        <w:tc>
          <w:tcPr>
            <w:tcW w:type="dxa" w:w="1928"/>
          </w:tcPr>
          <w:p>
            <w:r/>
            <w:r>
              <w:rPr>
                <w:rFonts w:ascii="游ゴシック" w:hAnsi="游ゴシック" w:eastAsia="游ゴシック"/>
                <w:sz w:val="18"/>
              </w:rPr>
              <w:t>小標本調査の扱い</w:t>
            </w:r>
          </w:p>
        </w:tc>
        <w:tc>
          <w:tcPr>
            <w:tcW w:type="dxa" w:w="7597"/>
          </w:tcPr>
          <w:p>
            <w:r/>
            <w:r>
              <w:rPr>
                <w:rFonts w:ascii="游ゴシック" w:hAnsi="游ゴシック" w:eastAsia="游ゴシック"/>
                <w:sz w:val="18"/>
              </w:rPr>
              <w:t>第9期計画の在宅介護実態調査（対象79人・回答37人）・在宅生活改善調査（対象15事業所・回答12事業所）について、計画本文が記述した15項目の差分を検定したところ、統計的に有意なのは3項目のみでした。第10期では回答数nと信頼区間を各図表に明記し、小標本の差分は断定しないことを提案いたします。</w:t>
            </w:r>
          </w:p>
        </w:tc>
      </w:tr>
      <w:tr>
        <w:tc>
          <w:tcPr>
            <w:tcW w:type="dxa" w:w="1928"/>
          </w:tcPr>
          <w:p>
            <w:r/>
            <w:r>
              <w:rPr>
                <w:rFonts w:ascii="游ゴシック" w:hAnsi="游ゴシック" w:eastAsia="游ゴシック"/>
                <w:sz w:val="18"/>
              </w:rPr>
              <w:t>北海道の第9期計画との関係</w:t>
            </w:r>
          </w:p>
        </w:tc>
        <w:tc>
          <w:tcPr>
            <w:tcW w:type="dxa" w:w="7597"/>
          </w:tcPr>
          <w:p>
            <w:r/>
            <w:r>
              <w:rPr>
                <w:rFonts w:ascii="游ゴシック" w:hAnsi="游ゴシック" w:eastAsia="游ゴシック"/>
                <w:sz w:val="18"/>
              </w:rPr>
              <w:t>北海道は基本テーマ「道民みんなで支え合う、明るく活力に満ちた高齢社会づくり」のもとに8つの基本目標を設定し、それぞれに評価指標を置いております。うち①地域包括支援センター運営状況調査の評価結果（71.6％（R3）→全国平均値以上（R8））、②介護従事者の採用率と離職率の差（1.0％（R3）→全国平均以上（R8））、③介護給付適正化の主要3事業の全市町村実施（100％）の3項目は、既存の全国調査又は既存データで算定でき、測定手段が未確定の第10期KPIの代替又は補完に使えます。特に②は第9期の介護人材実態調査の採用者数・退職者数から算定でき、H13・H14の代替となります。</w:t>
            </w:r>
          </w:p>
        </w:tc>
      </w:tr>
      <w:tr>
        <w:tc>
          <w:tcPr>
            <w:tcW w:type="dxa" w:w="1928"/>
          </w:tcPr>
          <w:p>
            <w:r/>
            <w:r>
              <w:rPr>
                <w:rFonts w:ascii="游ゴシック" w:hAnsi="游ゴシック" w:eastAsia="游ゴシック"/>
                <w:sz w:val="18"/>
              </w:rPr>
              <w:t>上川中部圏域における位置</w:t>
            </w:r>
          </w:p>
        </w:tc>
        <w:tc>
          <w:tcPr>
            <w:tcW w:type="dxa" w:w="7597"/>
          </w:tcPr>
          <w:p>
            <w:r/>
            <w:r>
              <w:rPr>
                <w:rFonts w:ascii="游ゴシック" w:hAnsi="游ゴシック" w:eastAsia="游ゴシック"/>
                <w:sz w:val="18"/>
              </w:rPr>
              <w:t>北海道計画 第7章第12節によると、上川中部圏域（旭川市、鷹栖町、東神楽町、当麻町、比布町、愛別町、上川町、東川町、美瑛町、幌加内町）の総人口は377,136人で、構成3町の28,093人は圏域の7.4％です。調整済み給付月額の分布では、当広域連合は施設及び居住系が北海道10,504円に対し13,097円（R5）と24.7％上回る一方、在宅は8,918円に対し9,164円と2.8％上回る程度です。旭川市は逆に在宅が高く施設・居住系が低い構造で、住民の生活圏が重なるだけに住民説明で問われやすい点と考えております。</w:t>
            </w:r>
          </w:p>
        </w:tc>
      </w:tr>
      <w:tr>
        <w:tc>
          <w:tcPr>
            <w:tcW w:type="dxa" w:w="1928"/>
          </w:tcPr>
          <w:p>
            <w:r/>
            <w:r>
              <w:rPr>
                <w:rFonts w:ascii="游ゴシック" w:hAnsi="游ゴシック" w:eastAsia="游ゴシック"/>
                <w:sz w:val="18"/>
              </w:rPr>
              <w:t>圏域の24時間対応サービス</w:t>
            </w:r>
          </w:p>
        </w:tc>
        <w:tc>
          <w:tcPr>
            <w:tcW w:type="dxa" w:w="7597"/>
          </w:tcPr>
          <w:p>
            <w:r/>
            <w:r>
              <w:rPr>
                <w:rFonts w:ascii="游ゴシック" w:hAnsi="游ゴシック" w:eastAsia="游ゴシック"/>
                <w:sz w:val="18"/>
              </w:rPr>
              <w:t>上川中部圏域は定期巡回・随時対応型訪問介護看護を令和4年度実績59.1人/月から令和8年度68.0人/月へ、看護小規模多機能型居宅介護を同1.0人/月から101.0人/月へ見込んでおりますが、当広域連合はいずれも実質ゼロです（定期巡回の第1号1人あたり給付月額は令和7年度15円、看多機・夜間対応型は0円）。要介護5の在宅・居住系割合が54.6％に達している状況と併せ、第6章の整備方針の中心論点になると考えております。</w:t>
            </w:r>
          </w:p>
        </w:tc>
      </w:tr>
      <w:tr>
        <w:tc>
          <w:tcPr>
            <w:tcW w:type="dxa" w:w="1928"/>
          </w:tcPr>
          <w:p>
            <w:r/>
            <w:r>
              <w:rPr>
                <w:rFonts w:ascii="游ゴシック" w:hAnsi="游ゴシック" w:eastAsia="游ゴシック"/>
                <w:sz w:val="18"/>
              </w:rPr>
              <w:t>見える化の指標の受領状況</w:t>
            </w:r>
          </w:p>
        </w:tc>
        <w:tc>
          <w:tcPr>
            <w:tcW w:type="dxa" w:w="7597"/>
          </w:tcPr>
          <w:p>
            <w:r/>
            <w:r>
              <w:rPr>
                <w:rFonts w:ascii="游ゴシック" w:hAnsi="游ゴシック" w:eastAsia="游ゴシック"/>
                <w:sz w:val="18"/>
              </w:rPr>
              <w:t>このたびご提供いただいた「指標リスト（目的別）」により、見える化システムの指標は全906件で、当方が受領しているのはA・B・C・D・P系列の182件（20.1％）であることを確認いたしました。未受領のδ系列（地域分析・自給率）、F系列（地域支援事業）、H系列（介護人材の必要数）、J系列（認知症施策）、K系列（事業所数）、L・M・N・O系列（医療介護連携・従事者数・リハビリ）、W系列（交付金評価指標）に、基本指針の新別表11事項の大半と、測定手段が未確定であったKPIの代替指標が含まれておりました。その後の確認で、①総合事業ベースの通いの場参加率（F1〜F9）と②医療介護連携に関する加算のうち介護報酬側（O系列・令和5年度まで）は出力可能、③介護人材の必要数（H1・H2）と④医療機関・看取り・診療報酬側の連携指標（L系列）はデータ登録がなく提供不可であることが判明いたしました。H1・H2はH13（職種別欠員率）の代替として最有力でしたので、北海道と同じ「採用率と離職率の差」（第9期の介護人材実態調査の採用者数・退職者数から算定）又はM2系列（従事者数・サービス別）での代替に切り替えます。L系列が使えないため、死亡場所別の死亡数は人口動態統計の市区町村別集計又は3町の集計、医療側からの連携の状況は圏域の医療機関への照会で補う必要がございます。</w:t>
            </w:r>
          </w:p>
        </w:tc>
      </w:tr>
      <w:tr>
        <w:tc>
          <w:tcPr>
            <w:tcW w:type="dxa" w:w="1928"/>
          </w:tcPr>
          <w:p>
            <w:r/>
            <w:r>
              <w:rPr>
                <w:rFonts w:ascii="游ゴシック" w:hAnsi="游ゴシック" w:eastAsia="游ゴシック"/>
                <w:sz w:val="18"/>
              </w:rPr>
              <w:t>見える化にまだない指標</w:t>
            </w:r>
          </w:p>
        </w:tc>
        <w:tc>
          <w:tcPr>
            <w:tcW w:type="dxa" w:w="7597"/>
          </w:tcPr>
          <w:p>
            <w:r/>
            <w:r>
              <w:rPr>
                <w:rFonts w:ascii="游ゴシック" w:hAnsi="游ゴシック" w:eastAsia="游ゴシック"/>
                <w:sz w:val="18"/>
              </w:rPr>
              <w:t>一方、入所率・稼働率、介護SCR（性・年齢調整済みレセプト出現比）、人口メッシュは指標リストに見当たらず、基本指針案が（新）としているとおり令和8年度以降の改修で追加されるものと思われます。入所率については、当面は定員（D25〜D27）と受給者数（D1）からの概算、又は施設への直接照会で代替する必要がございます。認定者504人が未利用である要因（施設に空きがあるのか、満床で入れないのか）の判別に直結するため、改修の時期を北海道経由でご確認いただけますと幸いです。</w:t>
            </w:r>
          </w:p>
        </w:tc>
      </w:tr>
      <w:tr>
        <w:tc>
          <w:tcPr>
            <w:tcW w:type="dxa" w:w="1928"/>
          </w:tcPr>
          <w:p>
            <w:r/>
            <w:r>
              <w:rPr>
                <w:rFonts w:ascii="游ゴシック" w:hAnsi="游ゴシック" w:eastAsia="游ゴシック"/>
                <w:sz w:val="18"/>
              </w:rPr>
              <w:t>北海道の施策記述の構成</w:t>
            </w:r>
          </w:p>
        </w:tc>
        <w:tc>
          <w:tcPr>
            <w:tcW w:type="dxa" w:w="7597"/>
          </w:tcPr>
          <w:p>
            <w:r/>
            <w:r>
              <w:rPr>
                <w:rFonts w:ascii="游ゴシック" w:hAnsi="游ゴシック" w:eastAsia="游ゴシック"/>
                <w:sz w:val="18"/>
              </w:rPr>
              <w:t>北海道の計画は第5章の全8節を「（1）現状と課題（2）関連データ（3）施策の方向性（4）主な事業＜事業名及び内容（インプット）／目標（アウトプット）＞（5）達成目標（アウトカム）」の5層で記述しております。例えば第6節（介護人材の養成・確保）は、事業4件、アウトプット目標6項目（初任介護支援専門員OJT研修25人/年、キャリアパス支援研修12,000人/年 ほか）、アウトカム1項目（介護支援専門員従事者数 R4 9,718人→R8 10,331人）という構成です。一方、当広域連合の第9期計画の第5章は「主な取組・管理指標・主体」の3列の表のみで、現状と課題、根拠データ、実施事業、アウトプット目標がございません。第10期基本指針案が「ロジックモデルの活用」を記載充実事項に挙げていることも踏まえ、第5章の記述構成を北海道と同じ5層に改めることを提案いたします。素案の3層構造（本文KPI12項目・補完4項目・施策管理指標）を、施策管理指標＝アウトプット、本文KPI＝アウトカムとして各節に割り付ける形になります。</w:t>
            </w:r>
          </w:p>
        </w:tc>
      </w:tr>
      <w:tr>
        <w:tc>
          <w:tcPr>
            <w:tcW w:type="dxa" w:w="1928"/>
          </w:tcPr>
          <w:p>
            <w:r/>
            <w:r>
              <w:rPr>
                <w:rFonts w:ascii="游ゴシック" w:hAnsi="游ゴシック" w:eastAsia="游ゴシック"/>
                <w:sz w:val="18"/>
              </w:rPr>
              <w:t>北海道の指標単位の読替え</w:t>
            </w:r>
          </w:p>
        </w:tc>
        <w:tc>
          <w:tcPr>
            <w:tcW w:type="dxa" w:w="7597"/>
          </w:tcPr>
          <w:p>
            <w:r/>
            <w:r>
              <w:rPr>
                <w:rFonts w:ascii="游ゴシック" w:hAnsi="游ゴシック" w:eastAsia="游ゴシック"/>
                <w:sz w:val="18"/>
              </w:rPr>
              <w:t>北海道の評価指標・達成目標には「市町村数」を単位とするものが多く（例：介護予防に資する住民主体の通いの場がある市町村数 R4 159→R8 全179市町村）、1保険者である当広域連合にはそのまま適用できません。①日常生活圏域数（6圏域）②実数・率③3町のうち実施している町数、のいずれかへの読替えが必要です。①は圏域設定の見直し、③は3町との合意が前提となります。</w:t>
            </w:r>
          </w:p>
        </w:tc>
      </w:tr>
      <w:tr>
        <w:tc>
          <w:tcPr>
            <w:tcW w:type="dxa" w:w="1928"/>
          </w:tcPr>
          <w:p>
            <w:r/>
            <w:r>
              <w:rPr>
                <w:rFonts w:ascii="游ゴシック" w:hAnsi="游ゴシック" w:eastAsia="游ゴシック"/>
                <w:sz w:val="18"/>
              </w:rPr>
              <w:t>第10期KPIの実測可否</w:t>
            </w:r>
          </w:p>
        </w:tc>
        <w:tc>
          <w:tcPr>
            <w:tcW w:type="dxa" w:w="7597"/>
          </w:tcPr>
          <w:p>
            <w:r/>
            <w:r>
              <w:rPr>
                <w:rFonts w:ascii="游ゴシック" w:hAnsi="游ゴシック" w:eastAsia="游ゴシック"/>
                <w:sz w:val="18"/>
              </w:rPr>
              <w:t>16項目のうち、令和9年度当初から実測できる見通しが立っているのは8項目（H01・H02・H04・H05・H06・H11・H13・H15）です。残り8項目は、業務範囲の決定（H07・H08・H12・H16）、業務記録の様式整備（H09・H10）、設問の追加又は代替（H14）、認定台帳からの抽出（H03）を要します。第9期は5基本目標19施策に対し代表KPIが4項目で評価範囲が不足しておりましたが、第10期の16項目は範囲としては妥当である一方、半数について測定手段が未確定です。第1回委員会で測定手段まで含めてご決定いただくことを提案いたします。</w:t>
            </w:r>
          </w:p>
        </w:tc>
      </w:tr>
      <w:tr>
        <w:tc>
          <w:tcPr>
            <w:tcW w:type="dxa" w:w="1928"/>
          </w:tcPr>
          <w:p>
            <w:r/>
            <w:r>
              <w:rPr>
                <w:rFonts w:ascii="游ゴシック" w:hAnsi="游ゴシック" w:eastAsia="游ゴシック"/>
                <w:sz w:val="18"/>
              </w:rPr>
              <w:t>調査の回収率</w:t>
            </w:r>
          </w:p>
        </w:tc>
        <w:tc>
          <w:tcPr>
            <w:tcW w:type="dxa" w:w="7597"/>
          </w:tcPr>
          <w:p>
            <w:r/>
            <w:r>
              <w:rPr>
                <w:rFonts w:ascii="游ゴシック" w:hAnsi="游ゴシック" w:eastAsia="游ゴシック"/>
                <w:sz w:val="18"/>
              </w:rPr>
              <w:t>第9期の5調査の対象数は第1章第5節に記載があり、回収率はすべて算定できます。ニーズ調査63.9％、在宅介護実態調査46.8％（回答数は推定）、居所変更実態調査75.0％、在宅生活改善調査80.0％、介護人材実態調査77.1％です。</w:t>
            </w:r>
          </w:p>
        </w:tc>
      </w:tr>
    </w:tbl>
    <w:p>
      <w:pPr>
        <w:spacing w:after="80"/>
      </w:pPr>
      <w:r>
        <w:rPr>
          <w:rFonts w:ascii="游ゴシック" w:hAnsi="游ゴシック" w:eastAsia="游ゴシック"/>
          <w:b w:val="0"/>
          <w:sz w:val="21"/>
        </w:rPr>
      </w:r>
    </w:p>
    <w:p>
      <w:pPr>
        <w:spacing w:after="80"/>
        <w:jc w:val="right"/>
      </w:pPr>
      <w:r>
        <w:rPr>
          <w:rFonts w:ascii="游ゴシック" w:hAnsi="游ゴシック" w:eastAsia="游ゴシック"/>
          <w:b w:val="0"/>
          <w:sz w:val="21"/>
        </w:rPr>
        <w:t>以上</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19"/>
        </w:rPr>
        <w:t>【ご回答について】</w:t>
      </w:r>
    </w:p>
    <w:p>
      <w:pPr>
        <w:spacing w:after="80"/>
      </w:pPr>
      <w:r>
        <w:rPr>
          <w:rFonts w:ascii="游ゴシック" w:hAnsi="游ゴシック" w:eastAsia="游ゴシック"/>
          <w:b w:val="0"/>
          <w:sz w:val="19"/>
        </w:rPr>
        <w:t>１の(1)〜(7)は第1回委員会での協議事項として資料に反映いたします。２の1〜19は事務局にてご確認のうえ、回答欄にご記入いただくか、口頭でも差し支えありません。３の資料は受領次第、計画素案・図表集・修正指示書へ反映いたします。</w:t>
      </w:r>
    </w:p>
    <w:p>
      <w:pPr>
        <w:spacing w:after="80"/>
      </w:pPr>
      <w:r>
        <w:rPr>
          <w:rFonts w:ascii="游ゴシック" w:hAnsi="游ゴシック" w:eastAsia="游ゴシック"/>
          <w:b w:val="0"/>
          <w:sz w:val="19"/>
        </w:rPr>
        <w:t>なお、本書に記載した数値の根拠は「第10期計画_妥当性検証報告書」（全21シート）及び「第10期計画素案 修正指示書（令和8年7月）」（全59件）に整理しております。</w:t>
      </w:r>
    </w:p>
    <w:p>
      <w:r>
        <w:br w:type="page"/>
      </w:r>
    </w:p>
    <w:p>
      <w:pPr>
        <w:spacing w:after="120" w:before="200"/>
      </w:pPr>
      <w:r>
        <w:rPr>
          <w:rFonts w:ascii="游ゴシック" w:hAnsi="游ゴシック" w:eastAsia="游ゴシック"/>
          <w:b/>
          <w:sz w:val="24"/>
        </w:rPr>
        <w:t>【第9版の追記】令和8年7月30日以降の受領資料と作業上の前提</w:t>
      </w:r>
    </w:p>
    <w:p>
      <w:pPr>
        <w:spacing w:after="160"/>
      </w:pPr>
      <w:r>
        <w:rPr>
          <w:rFonts w:ascii="游ゴシック" w:hAnsi="游ゴシック" w:eastAsia="游ゴシック"/>
          <w:b w:val="0"/>
          <w:sz w:val="21"/>
        </w:rPr>
        <w:t>第8版（令和8年7月29日）の後、次の資料をご提供いただきました。いずれも見える化システムの出力であり、これにより確認事項が解消又は変更となりました。</w:t>
      </w:r>
    </w:p>
    <w:tbl>
      <w:tblPr>
        <w:tblStyle w:val="TableGrid"/>
        <w:tblW w:type="auto" w:w="0"/>
        <w:jc w:val="center"/>
        <w:tblLook w:firstColumn="1" w:firstRow="1" w:lastColumn="0" w:lastRow="0" w:noHBand="0" w:noVBand="1" w:val="04A0"/>
      </w:tblPr>
      <w:tblGrid>
        <w:gridCol w:w="3400"/>
        <w:gridCol w:w="3400"/>
        <w:gridCol w:w="3400"/>
      </w:tblGrid>
      <w:tr>
        <w:tc>
          <w:tcPr>
            <w:tcW w:type="dxa" w:w="2041"/>
          </w:tcPr>
          <w:p>
            <w:r/>
            <w:r>
              <w:rPr>
                <w:rFonts w:ascii="游ゴシック" w:hAnsi="游ゴシック" w:eastAsia="游ゴシック"/>
                <w:b/>
                <w:sz w:val="18"/>
              </w:rPr>
              <w:t>受領資料</w:t>
            </w:r>
          </w:p>
        </w:tc>
        <w:tc>
          <w:tcPr>
            <w:tcW w:type="dxa" w:w="3061"/>
          </w:tcPr>
          <w:p>
            <w:r/>
            <w:r>
              <w:rPr>
                <w:rFonts w:ascii="游ゴシック" w:hAnsi="游ゴシック" w:eastAsia="游ゴシック"/>
                <w:b/>
                <w:sz w:val="18"/>
              </w:rPr>
              <w:t>内容</w:t>
            </w:r>
          </w:p>
        </w:tc>
        <w:tc>
          <w:tcPr>
            <w:tcW w:type="dxa" w:w="4535"/>
          </w:tcPr>
          <w:p>
            <w:r/>
            <w:r>
              <w:rPr>
                <w:rFonts w:ascii="游ゴシック" w:hAnsi="游ゴシック" w:eastAsia="游ゴシック"/>
                <w:b/>
                <w:sz w:val="18"/>
              </w:rPr>
              <w:t>解消・変更となった事項</w:t>
            </w:r>
          </w:p>
        </w:tc>
      </w:tr>
      <w:tr>
        <w:tc>
          <w:tcPr>
            <w:tcW w:type="dxa" w:w="2041"/>
          </w:tcPr>
          <w:p>
            <w:r/>
            <w:r>
              <w:rPr>
                <w:rFonts w:ascii="游ゴシック" w:hAnsi="游ゴシック" w:eastAsia="游ゴシック"/>
                <w:sz w:val="18"/>
              </w:rPr>
              <w:t>δ（介護サービス自給率）</w:t>
            </w:r>
          </w:p>
        </w:tc>
        <w:tc>
          <w:tcPr>
            <w:tcW w:type="dxa" w:w="3061"/>
          </w:tcPr>
          <w:p>
            <w:r/>
            <w:r>
              <w:rPr>
                <w:rFonts w:ascii="游ゴシック" w:hAnsi="游ゴシック" w:eastAsia="游ゴシック"/>
                <w:sz w:val="18"/>
              </w:rPr>
              <w:t>6区分×上川管内23市町村・令和7年9月サービス提供分</w:t>
            </w:r>
          </w:p>
        </w:tc>
        <w:tc>
          <w:tcPr>
            <w:tcW w:type="dxa" w:w="4535"/>
          </w:tcPr>
          <w:p>
            <w:r/>
            <w:r>
              <w:rPr>
                <w:rFonts w:ascii="游ゴシック" w:hAnsi="游ゴシック" w:eastAsia="游ゴシック"/>
                <w:sz w:val="18"/>
              </w:rPr>
              <w:t>施設・居住系の受給が区域外施設の利用によるかどうかが確定しました（東川23.2％・美瑛24.7％・東神楽34.5％）。資料のご提供依頼のうち3件が解消しました</w:t>
            </w:r>
          </w:p>
        </w:tc>
      </w:tr>
      <w:tr>
        <w:tc>
          <w:tcPr>
            <w:tcW w:type="dxa" w:w="2041"/>
          </w:tcPr>
          <w:p>
            <w:r/>
            <w:r>
              <w:rPr>
                <w:rFonts w:ascii="游ゴシック" w:hAnsi="游ゴシック" w:eastAsia="游ゴシック"/>
                <w:sz w:val="18"/>
              </w:rPr>
              <w:t>D49（地域差指数）</w:t>
            </w:r>
          </w:p>
        </w:tc>
        <w:tc>
          <w:tcPr>
            <w:tcW w:type="dxa" w:w="3061"/>
          </w:tcPr>
          <w:p>
            <w:r/>
            <w:r>
              <w:rPr>
                <w:rFonts w:ascii="游ゴシック" w:hAnsi="游ゴシック" w:eastAsia="游ゴシック"/>
                <w:sz w:val="18"/>
              </w:rPr>
              <w:t>4要素×上川管内21保険者・令和5年</w:t>
            </w:r>
          </w:p>
        </w:tc>
        <w:tc>
          <w:tcPr>
            <w:tcW w:type="dxa" w:w="4535"/>
          </w:tcPr>
          <w:p>
            <w:r/>
            <w:r>
              <w:rPr>
                <w:rFonts w:ascii="游ゴシック" w:hAnsi="游ゴシック" w:eastAsia="游ゴシック"/>
                <w:sz w:val="18"/>
              </w:rPr>
              <w:t>給付月額指数1.08が管内では8〜10位であり管内中位に近いことが分かりました。また受給率×受給者単価が給付月額指数に一致しないため、指数の分解による要因の按分を撤回いたしました</w:t>
            </w:r>
          </w:p>
        </w:tc>
      </w:tr>
      <w:tr>
        <w:tc>
          <w:tcPr>
            <w:tcW w:type="dxa" w:w="2041"/>
          </w:tcPr>
          <w:p>
            <w:r/>
            <w:r>
              <w:rPr>
                <w:rFonts w:ascii="游ゴシック" w:hAnsi="游ゴシック" w:eastAsia="游ゴシック"/>
                <w:sz w:val="18"/>
              </w:rPr>
              <w:t>C1（保険料と必要保険料月額）</w:t>
            </w:r>
          </w:p>
        </w:tc>
        <w:tc>
          <w:tcPr>
            <w:tcW w:type="dxa" w:w="3061"/>
          </w:tcPr>
          <w:p>
            <w:r/>
            <w:r>
              <w:rPr>
                <w:rFonts w:ascii="游ゴシック" w:hAnsi="游ゴシック" w:eastAsia="游ゴシック"/>
                <w:sz w:val="18"/>
              </w:rPr>
              <w:t>上川管内21保険者・平成21年度〜令和7年度</w:t>
            </w:r>
          </w:p>
        </w:tc>
        <w:tc>
          <w:tcPr>
            <w:tcW w:type="dxa" w:w="4535"/>
          </w:tcPr>
          <w:p>
            <w:r/>
            <w:r>
              <w:rPr>
                <w:rFonts w:ascii="游ゴシック" w:hAnsi="游ゴシック" w:eastAsia="游ゴシック"/>
                <w:sz w:val="18"/>
              </w:rPr>
              <w:t>第7期の保険料基準額6,077円が原典で確認できました。条例によるご確認は不要となりました。期別の剰余（第7期＋159円・第8期＋66円・第9期2年＋385円）も確定しました</w:t>
            </w:r>
          </w:p>
        </w:tc>
      </w:tr>
      <w:tr>
        <w:tc>
          <w:tcPr>
            <w:tcW w:type="dxa" w:w="2041"/>
          </w:tcPr>
          <w:p>
            <w:r/>
            <w:r>
              <w:rPr>
                <w:rFonts w:ascii="游ゴシック" w:hAnsi="游ゴシック" w:eastAsia="游ゴシック"/>
                <w:sz w:val="18"/>
              </w:rPr>
              <w:t>A系列（人口）</w:t>
            </w:r>
          </w:p>
        </w:tc>
        <w:tc>
          <w:tcPr>
            <w:tcW w:type="dxa" w:w="3061"/>
          </w:tcPr>
          <w:p>
            <w:r/>
            <w:r>
              <w:rPr>
                <w:rFonts w:ascii="游ゴシック" w:hAnsi="游ゴシック" w:eastAsia="游ゴシック"/>
                <w:sz w:val="18"/>
              </w:rPr>
              <w:t>A2・A3・A3a・A4・A9／2000年〜2050年</w:t>
            </w:r>
          </w:p>
        </w:tc>
        <w:tc>
          <w:tcPr>
            <w:tcW w:type="dxa" w:w="4535"/>
          </w:tcPr>
          <w:p>
            <w:r/>
            <w:r>
              <w:rPr>
                <w:rFonts w:ascii="游ゴシック" w:hAnsi="游ゴシック" w:eastAsia="游ゴシック"/>
                <w:sz w:val="18"/>
              </w:rPr>
              <w:t>将来推計の基礎が整いました。第10期期間中は65歳以上人口がほぼ横ばい（▲0.1％）で、増えるのは80〜84歳と85歳以上のみであることが分かりました</w:t>
            </w:r>
          </w:p>
        </w:tc>
      </w:tr>
    </w:tbl>
    <w:p>
      <w:pPr>
        <w:spacing w:after="80"/>
      </w:pPr>
      <w:r>
        <w:rPr>
          <w:rFonts w:ascii="游ゴシック" w:hAnsi="游ゴシック" w:eastAsia="游ゴシック"/>
          <w:b w:val="0"/>
          <w:sz w:val="21"/>
        </w:rPr>
      </w:r>
    </w:p>
    <w:p>
      <w:pPr>
        <w:spacing w:after="120" w:before="200"/>
      </w:pPr>
      <w:r>
        <w:rPr>
          <w:rFonts w:ascii="游ゴシック" w:hAnsi="游ゴシック" w:eastAsia="游ゴシック"/>
          <w:b/>
          <w:sz w:val="24"/>
        </w:rPr>
        <w:t>【受託者の案として仮に置いている事項（ご意向の確認をお願いする事項）】</w:t>
      </w:r>
    </w:p>
    <w:p>
      <w:pPr>
        <w:spacing w:after="120"/>
      </w:pPr>
      <w:r>
        <w:rPr>
          <w:rFonts w:ascii="游ゴシック" w:hAnsi="游ゴシック" w:eastAsia="游ゴシック"/>
          <w:b w:val="0"/>
          <w:sz w:val="19"/>
        </w:rPr>
        <w:t>仕様書の定めにより、受託者は業務の各工程においてその都度発注者のご意向を確認しながら業務を進めております。次の事項は、作業を止めないために受託者の案を作業上の前提として仮に置いているものであり、決定した事項ではございません。キックオフ会議でご意向を確認いたします。</w:t>
      </w:r>
    </w:p>
    <w:tbl>
      <w:tblPr>
        <w:tblStyle w:val="TableGrid"/>
        <w:tblW w:type="auto" w:w="0"/>
        <w:jc w:val="center"/>
        <w:tblLook w:firstColumn="1" w:firstRow="1" w:lastColumn="0" w:lastRow="0" w:noHBand="0" w:noVBand="1" w:val="04A0"/>
      </w:tblPr>
      <w:tblGrid>
        <w:gridCol w:w="3400"/>
        <w:gridCol w:w="3400"/>
        <w:gridCol w:w="3400"/>
      </w:tblGrid>
      <w:tr>
        <w:tc>
          <w:tcPr>
            <w:tcW w:type="dxa" w:w="1928"/>
          </w:tcPr>
          <w:p>
            <w:r/>
            <w:r>
              <w:rPr>
                <w:rFonts w:ascii="游ゴシック" w:hAnsi="游ゴシック" w:eastAsia="游ゴシック"/>
                <w:b/>
                <w:sz w:val="18"/>
              </w:rPr>
              <w:t>事項</w:t>
            </w:r>
          </w:p>
        </w:tc>
        <w:tc>
          <w:tcPr>
            <w:tcW w:type="dxa" w:w="3742"/>
          </w:tcPr>
          <w:p>
            <w:r/>
            <w:r>
              <w:rPr>
                <w:rFonts w:ascii="游ゴシック" w:hAnsi="游ゴシック" w:eastAsia="游ゴシック"/>
                <w:b/>
                <w:sz w:val="18"/>
              </w:rPr>
              <w:t>受託者の案</w:t>
            </w:r>
          </w:p>
        </w:tc>
        <w:tc>
          <w:tcPr>
            <w:tcW w:type="dxa" w:w="3969"/>
          </w:tcPr>
          <w:p>
            <w:r/>
            <w:r>
              <w:rPr>
                <w:rFonts w:ascii="游ゴシック" w:hAnsi="游ゴシック" w:eastAsia="游ゴシック"/>
                <w:b/>
                <w:sz w:val="18"/>
              </w:rPr>
              <w:t>確認の時期・変更した場合の影響</w:t>
            </w:r>
          </w:p>
        </w:tc>
      </w:tr>
      <w:tr>
        <w:tc>
          <w:tcPr>
            <w:tcW w:type="dxa" w:w="1928"/>
          </w:tcPr>
          <w:p>
            <w:r/>
            <w:r>
              <w:rPr>
                <w:rFonts w:ascii="游ゴシック" w:hAnsi="游ゴシック" w:eastAsia="游ゴシック"/>
                <w:sz w:val="18"/>
              </w:rPr>
              <w:t>第10期の人口推計の基礎</w:t>
            </w:r>
          </w:p>
        </w:tc>
        <w:tc>
          <w:tcPr>
            <w:tcW w:type="dxa" w:w="3742"/>
          </w:tcPr>
          <w:p>
            <w:r/>
            <w:r>
              <w:rPr>
                <w:rFonts w:ascii="游ゴシック" w:hAnsi="游ゴシック" w:eastAsia="游ゴシック"/>
                <w:sz w:val="18"/>
              </w:rPr>
              <w:t>国立社会保障・人口問題研究所「日本の地域別将来推計人口」（見える化システムの初期値）をそのまま用いる。これを仮に置いて将来推計の第1段階（人口と認定者数）を試算いたしました</w:t>
            </w:r>
          </w:p>
        </w:tc>
        <w:tc>
          <w:tcPr>
            <w:tcW w:type="dxa" w:w="3969"/>
          </w:tcPr>
          <w:p>
            <w:r/>
            <w:r>
              <w:rPr>
                <w:rFonts w:ascii="游ゴシック" w:hAnsi="游ゴシック" w:eastAsia="游ゴシック"/>
                <w:sz w:val="18"/>
              </w:rPr>
              <w:t>キックオフ会議（別冊のヒアリングシート 項目6-1）。3町の総合計画等による推計人口への差替えなど他のご意向がある場合は、第1段階を再計算いたします</w:t>
            </w:r>
          </w:p>
        </w:tc>
      </w:tr>
    </w:tbl>
    <w:p>
      <w:pPr>
        <w:spacing w:after="80"/>
      </w:pPr>
      <w:r>
        <w:rPr>
          <w:rFonts w:ascii="游ゴシック" w:hAnsi="游ゴシック" w:eastAsia="游ゴシック"/>
          <w:b w:val="0"/>
          <w:sz w:val="21"/>
        </w:rPr>
      </w:r>
    </w:p>
    <w:p>
      <w:pPr>
        <w:spacing w:after="120" w:before="200"/>
      </w:pPr>
      <w:r>
        <w:rPr>
          <w:rFonts w:ascii="游ゴシック" w:hAnsi="游ゴシック" w:eastAsia="游ゴシック"/>
          <w:b/>
          <w:sz w:val="24"/>
        </w:rPr>
        <w:t>【あらためてお願いする事項】</w:t>
      </w:r>
    </w:p>
    <w:p>
      <w:pPr>
        <w:spacing w:after="120"/>
      </w:pPr>
      <w:r>
        <w:rPr>
          <w:rFonts w:ascii="游ゴシック" w:hAnsi="游ゴシック" w:eastAsia="游ゴシック"/>
          <w:b w:val="0"/>
          <w:sz w:val="21"/>
        </w:rPr>
        <w:t>上記の受領状況を踏まえ、現時点で最も急ぐものは次のとおりです。詳細は別冊の「必要事項の一覧」をご覧ください。</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134"/>
          </w:tcPr>
          <w:p>
            <w:r/>
            <w:r>
              <w:rPr>
                <w:rFonts w:ascii="游ゴシック" w:hAnsi="游ゴシック" w:eastAsia="游ゴシック"/>
                <w:b/>
                <w:sz w:val="18"/>
              </w:rPr>
              <w:t>区分</w:t>
            </w:r>
          </w:p>
        </w:tc>
        <w:tc>
          <w:tcPr>
            <w:tcW w:type="dxa" w:w="3402"/>
          </w:tcPr>
          <w:p>
            <w:r/>
            <w:r>
              <w:rPr>
                <w:rFonts w:ascii="游ゴシック" w:hAnsi="游ゴシック" w:eastAsia="游ゴシック"/>
                <w:b/>
                <w:sz w:val="18"/>
              </w:rPr>
              <w:t>事項</w:t>
            </w:r>
          </w:p>
        </w:tc>
        <w:tc>
          <w:tcPr>
            <w:tcW w:type="dxa" w:w="3742"/>
          </w:tcPr>
          <w:p>
            <w:r/>
            <w:r>
              <w:rPr>
                <w:rFonts w:ascii="游ゴシック" w:hAnsi="游ゴシック" w:eastAsia="游ゴシック"/>
                <w:b/>
                <w:sz w:val="18"/>
              </w:rPr>
              <w:t>これがないと進まないこと</w:t>
            </w:r>
          </w:p>
        </w:tc>
        <w:tc>
          <w:tcPr>
            <w:tcW w:type="dxa" w:w="1361"/>
          </w:tcPr>
          <w:p>
            <w:r/>
            <w:r>
              <w:rPr>
                <w:rFonts w:ascii="游ゴシック" w:hAnsi="游ゴシック" w:eastAsia="游ゴシック"/>
                <w:b/>
                <w:sz w:val="18"/>
              </w:rPr>
              <w:t>希望時期</w:t>
            </w:r>
          </w:p>
        </w:tc>
      </w:tr>
      <w:tr>
        <w:tc>
          <w:tcPr>
            <w:tcW w:type="dxa" w:w="1134"/>
          </w:tcPr>
          <w:p>
            <w:r/>
            <w:r>
              <w:rPr>
                <w:rFonts w:ascii="游ゴシック" w:hAnsi="游ゴシック" w:eastAsia="游ゴシック"/>
                <w:sz w:val="18"/>
              </w:rPr>
              <w:t>資料</w:t>
            </w:r>
          </w:p>
        </w:tc>
        <w:tc>
          <w:tcPr>
            <w:tcW w:type="dxa" w:w="3402"/>
          </w:tcPr>
          <w:p>
            <w:r/>
            <w:r>
              <w:rPr>
                <w:rFonts w:ascii="游ゴシック" w:hAnsi="游ゴシック" w:eastAsia="游ゴシック"/>
                <w:sz w:val="18"/>
              </w:rPr>
              <w:t>令和6〜8年度の施策・事業実績、事業量、対象実人数、予算・決算</w:t>
            </w:r>
          </w:p>
        </w:tc>
        <w:tc>
          <w:tcPr>
            <w:tcW w:type="dxa" w:w="3742"/>
          </w:tcPr>
          <w:p>
            <w:r/>
            <w:r>
              <w:rPr>
                <w:rFonts w:ascii="游ゴシック" w:hAnsi="游ゴシック" w:eastAsia="游ゴシック"/>
                <w:sz w:val="18"/>
              </w:rPr>
              <w:t>仕様書４（2）の第9期評価が完了いたしません</w:t>
            </w:r>
          </w:p>
        </w:tc>
        <w:tc>
          <w:tcPr>
            <w:tcW w:type="dxa" w:w="1361"/>
          </w:tcPr>
          <w:p>
            <w:r/>
            <w:r>
              <w:rPr>
                <w:rFonts w:ascii="游ゴシック" w:hAnsi="游ゴシック" w:eastAsia="游ゴシック"/>
                <w:sz w:val="18"/>
              </w:rPr>
              <w:t>令和8年8月</w:t>
            </w:r>
          </w:p>
        </w:tc>
      </w:tr>
      <w:tr>
        <w:tc>
          <w:tcPr>
            <w:tcW w:type="dxa" w:w="1134"/>
          </w:tcPr>
          <w:p>
            <w:r/>
            <w:r>
              <w:rPr>
                <w:rFonts w:ascii="游ゴシック" w:hAnsi="游ゴシック" w:eastAsia="游ゴシック"/>
                <w:sz w:val="18"/>
              </w:rPr>
              <w:t>資料</w:t>
            </w:r>
          </w:p>
        </w:tc>
        <w:tc>
          <w:tcPr>
            <w:tcW w:type="dxa" w:w="3402"/>
          </w:tcPr>
          <w:p>
            <w:r/>
            <w:r>
              <w:rPr>
                <w:rFonts w:ascii="游ゴシック" w:hAnsi="游ゴシック" w:eastAsia="游ゴシック"/>
                <w:sz w:val="18"/>
              </w:rPr>
              <w:t>在宅生活改善調査・居所変更実態調査・介護人材実態調査の第10期分</w:t>
            </w:r>
          </w:p>
        </w:tc>
        <w:tc>
          <w:tcPr>
            <w:tcW w:type="dxa" w:w="3742"/>
          </w:tcPr>
          <w:p>
            <w:r/>
            <w:r>
              <w:rPr>
                <w:rFonts w:ascii="游ゴシック" w:hAnsi="游ゴシック" w:eastAsia="游ゴシック"/>
                <w:sz w:val="18"/>
              </w:rPr>
              <w:t>仕様書４（3）が完了いたしません</w:t>
            </w:r>
          </w:p>
        </w:tc>
        <w:tc>
          <w:tcPr>
            <w:tcW w:type="dxa" w:w="1361"/>
          </w:tcPr>
          <w:p>
            <w:r/>
            <w:r>
              <w:rPr>
                <w:rFonts w:ascii="游ゴシック" w:hAnsi="游ゴシック" w:eastAsia="游ゴシック"/>
                <w:sz w:val="18"/>
              </w:rPr>
              <w:t>令和8年8月</w:t>
            </w:r>
          </w:p>
        </w:tc>
      </w:tr>
      <w:tr>
        <w:tc>
          <w:tcPr>
            <w:tcW w:type="dxa" w:w="1134"/>
          </w:tcPr>
          <w:p>
            <w:r/>
            <w:r>
              <w:rPr>
                <w:rFonts w:ascii="游ゴシック" w:hAnsi="游ゴシック" w:eastAsia="游ゴシック"/>
                <w:sz w:val="18"/>
              </w:rPr>
              <w:t>資料</w:t>
            </w:r>
          </w:p>
        </w:tc>
        <w:tc>
          <w:tcPr>
            <w:tcW w:type="dxa" w:w="3402"/>
          </w:tcPr>
          <w:p>
            <w:r/>
            <w:r>
              <w:rPr>
                <w:rFonts w:ascii="游ゴシック" w:hAnsi="游ゴシック" w:eastAsia="游ゴシック"/>
                <w:sz w:val="18"/>
              </w:rPr>
              <w:t>要介護度別認定者数の実績（令和元年〜令和8年度・各年3月末）</w:t>
            </w:r>
          </w:p>
        </w:tc>
        <w:tc>
          <w:tcPr>
            <w:tcW w:type="dxa" w:w="3742"/>
          </w:tcPr>
          <w:p>
            <w:r/>
            <w:r>
              <w:rPr>
                <w:rFonts w:ascii="游ゴシック" w:hAnsi="游ゴシック" w:eastAsia="游ゴシック"/>
                <w:sz w:val="18"/>
              </w:rPr>
              <w:t>将来推計の第2段階（サービス見込量）に進めません</w:t>
            </w:r>
          </w:p>
        </w:tc>
        <w:tc>
          <w:tcPr>
            <w:tcW w:type="dxa" w:w="1361"/>
          </w:tcPr>
          <w:p>
            <w:r/>
            <w:r>
              <w:rPr>
                <w:rFonts w:ascii="游ゴシック" w:hAnsi="游ゴシック" w:eastAsia="游ゴシック"/>
                <w:sz w:val="18"/>
              </w:rPr>
              <w:t>令和8年9月</w:t>
            </w:r>
          </w:p>
        </w:tc>
      </w:tr>
      <w:tr>
        <w:tc>
          <w:tcPr>
            <w:tcW w:type="dxa" w:w="1134"/>
          </w:tcPr>
          <w:p>
            <w:r/>
            <w:r>
              <w:rPr>
                <w:rFonts w:ascii="游ゴシック" w:hAnsi="游ゴシック" w:eastAsia="游ゴシック"/>
                <w:sz w:val="18"/>
              </w:rPr>
              <w:t>資料</w:t>
            </w:r>
          </w:p>
        </w:tc>
        <w:tc>
          <w:tcPr>
            <w:tcW w:type="dxa" w:w="3402"/>
          </w:tcPr>
          <w:p>
            <w:r/>
            <w:r>
              <w:rPr>
                <w:rFonts w:ascii="游ゴシック" w:hAnsi="游ゴシック" w:eastAsia="游ゴシック"/>
                <w:sz w:val="18"/>
              </w:rPr>
              <w:t>令和6年・令和7年の町別住民基本台帳人口（年齢4区分別）</w:t>
            </w:r>
          </w:p>
        </w:tc>
        <w:tc>
          <w:tcPr>
            <w:tcW w:type="dxa" w:w="3742"/>
          </w:tcPr>
          <w:p>
            <w:r/>
            <w:r>
              <w:rPr>
                <w:rFonts w:ascii="游ゴシック" w:hAnsi="游ゴシック" w:eastAsia="游ゴシック"/>
                <w:sz w:val="18"/>
              </w:rPr>
              <w:t>第2章第1節の町別の記述及び特定地域の判定が確定いたしません</w:t>
            </w:r>
          </w:p>
        </w:tc>
        <w:tc>
          <w:tcPr>
            <w:tcW w:type="dxa" w:w="1361"/>
          </w:tcPr>
          <w:p>
            <w:r/>
            <w:r>
              <w:rPr>
                <w:rFonts w:ascii="游ゴシック" w:hAnsi="游ゴシック" w:eastAsia="游ゴシック"/>
                <w:sz w:val="18"/>
              </w:rPr>
              <w:t>令和8年9月</w:t>
            </w:r>
          </w:p>
        </w:tc>
      </w:tr>
      <w:tr>
        <w:tc>
          <w:tcPr>
            <w:tcW w:type="dxa" w:w="1134"/>
          </w:tcPr>
          <w:p>
            <w:r/>
            <w:r>
              <w:rPr>
                <w:rFonts w:ascii="游ゴシック" w:hAnsi="游ゴシック" w:eastAsia="游ゴシック"/>
                <w:sz w:val="18"/>
              </w:rPr>
              <w:t>ご決定</w:t>
            </w:r>
          </w:p>
        </w:tc>
        <w:tc>
          <w:tcPr>
            <w:tcW w:type="dxa" w:w="3402"/>
          </w:tcPr>
          <w:p>
            <w:r/>
            <w:r>
              <w:rPr>
                <w:rFonts w:ascii="游ゴシック" w:hAnsi="游ゴシック" w:eastAsia="游ゴシック"/>
                <w:sz w:val="18"/>
              </w:rPr>
              <w:t>介護サービス自給率（δ）の計画本文への掲載の可否</w:t>
            </w:r>
          </w:p>
        </w:tc>
        <w:tc>
          <w:tcPr>
            <w:tcW w:type="dxa" w:w="3742"/>
          </w:tcPr>
          <w:p>
            <w:r/>
            <w:r>
              <w:rPr>
                <w:rFonts w:ascii="游ゴシック" w:hAnsi="游ゴシック" w:eastAsia="游ゴシック"/>
                <w:sz w:val="18"/>
              </w:rPr>
              <w:t>同指標は自治体向けのため取扱いに注意を要する旨が明記されております。掲載できない場合、第2章第3節の構成を組み替えます</w:t>
            </w:r>
          </w:p>
        </w:tc>
        <w:tc>
          <w:tcPr>
            <w:tcW w:type="dxa" w:w="1361"/>
          </w:tcPr>
          <w:p>
            <w:r/>
            <w:r>
              <w:rPr>
                <w:rFonts w:ascii="游ゴシック" w:hAnsi="游ゴシック" w:eastAsia="游ゴシック"/>
                <w:sz w:val="18"/>
              </w:rPr>
              <w:t>令和8年8月</w:t>
            </w:r>
          </w:p>
        </w:tc>
      </w:tr>
      <w:tr>
        <w:tc>
          <w:tcPr>
            <w:tcW w:type="dxa" w:w="1134"/>
          </w:tcPr>
          <w:p>
            <w:r/>
            <w:r>
              <w:rPr>
                <w:rFonts w:ascii="游ゴシック" w:hAnsi="游ゴシック" w:eastAsia="游ゴシック"/>
                <w:sz w:val="18"/>
              </w:rPr>
              <w:t>ご決定</w:t>
            </w:r>
          </w:p>
        </w:tc>
        <w:tc>
          <w:tcPr>
            <w:tcW w:type="dxa" w:w="3402"/>
          </w:tcPr>
          <w:p>
            <w:r/>
            <w:r>
              <w:rPr>
                <w:rFonts w:ascii="游ゴシック" w:hAnsi="游ゴシック" w:eastAsia="游ゴシック"/>
                <w:sz w:val="18"/>
              </w:rPr>
              <w:t>階級別認定率のシナリオの選択</w:t>
            </w:r>
          </w:p>
        </w:tc>
        <w:tc>
          <w:tcPr>
            <w:tcW w:type="dxa" w:w="3742"/>
          </w:tcPr>
          <w:p>
            <w:r/>
            <w:r>
              <w:rPr>
                <w:rFonts w:ascii="游ゴシック" w:hAnsi="游ゴシック" w:eastAsia="游ゴシック"/>
                <w:sz w:val="18"/>
              </w:rPr>
              <w:t>①現状固定／②トレンド継続（推奨）／③令和元年水準へ回帰。令和11年度の認定者数は2,004〜2,112人となります</w:t>
            </w:r>
          </w:p>
        </w:tc>
        <w:tc>
          <w:tcPr>
            <w:tcW w:type="dxa" w:w="1361"/>
          </w:tcPr>
          <w:p>
            <w:r/>
            <w:r>
              <w:rPr>
                <w:rFonts w:ascii="游ゴシック" w:hAnsi="游ゴシック" w:eastAsia="游ゴシック"/>
                <w:sz w:val="18"/>
              </w:rPr>
              <w:t>令和8年10月</w:t>
            </w:r>
          </w:p>
        </w:tc>
      </w:tr>
      <w:tr>
        <w:tc>
          <w:tcPr>
            <w:tcW w:type="dxa" w:w="1134"/>
          </w:tcPr>
          <w:p>
            <w:r/>
            <w:r>
              <w:rPr>
                <w:rFonts w:ascii="游ゴシック" w:hAnsi="游ゴシック" w:eastAsia="游ゴシック"/>
                <w:sz w:val="18"/>
              </w:rPr>
              <w:t>ご決定</w:t>
            </w:r>
          </w:p>
        </w:tc>
        <w:tc>
          <w:tcPr>
            <w:tcW w:type="dxa" w:w="3402"/>
          </w:tcPr>
          <w:p>
            <w:r/>
            <w:r>
              <w:rPr>
                <w:rFonts w:ascii="游ゴシック" w:hAnsi="游ゴシック" w:eastAsia="游ゴシック"/>
                <w:sz w:val="18"/>
              </w:rPr>
              <w:t>介護保険事業計画策定委員会の開催日程・審議事項・資料提出期限</w:t>
            </w:r>
          </w:p>
        </w:tc>
        <w:tc>
          <w:tcPr>
            <w:tcW w:type="dxa" w:w="3742"/>
          </w:tcPr>
          <w:p>
            <w:r/>
            <w:r>
              <w:rPr>
                <w:rFonts w:ascii="游ゴシック" w:hAnsi="游ゴシック" w:eastAsia="游ゴシック"/>
                <w:sz w:val="18"/>
              </w:rPr>
              <w:t>仕様書４（8）各種会議への技術的支援に着手できません</w:t>
            </w:r>
          </w:p>
        </w:tc>
        <w:tc>
          <w:tcPr>
            <w:tcW w:type="dxa" w:w="1361"/>
          </w:tcPr>
          <w:p>
            <w:r/>
            <w:r>
              <w:rPr>
                <w:rFonts w:ascii="游ゴシック" w:hAnsi="游ゴシック" w:eastAsia="游ゴシック"/>
                <w:sz w:val="18"/>
              </w:rPr>
              <w:t>令和8年8月</w:t>
            </w:r>
          </w:p>
        </w:tc>
      </w:tr>
    </w:tbl>
    <w:p>
      <w:pPr>
        <w:spacing w:after="80"/>
      </w:pPr>
      <w:r>
        <w:rPr>
          <w:rFonts w:ascii="游ゴシック" w:hAnsi="游ゴシック" w:eastAsia="游ゴシック"/>
          <w:b w:val="0"/>
          <w:sz w:val="21"/>
        </w:rPr>
      </w:r>
    </w:p>
    <w:p>
      <w:pPr>
        <w:spacing w:after="160"/>
      </w:pPr>
      <w:r>
        <w:rPr>
          <w:rFonts w:ascii="游ゴシック" w:hAnsi="游ゴシック" w:eastAsia="游ゴシック"/>
          <w:b w:val="0"/>
          <w:sz w:val="21"/>
        </w:rPr>
        <w:t>なお、図表のレイアウト・体裁につきましては、第9期計画の体裁を維持する方針でご確認をお願いしております。ご確認の結果をいただき次第、全図表へ反映いたします。</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