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186件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172件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令和8年10月15日】新旧対照条文により社会福祉法第106条の12（新設）の内容を確かめた。小規模市町村が本事業を実施する場合、介護保険法第122条の2（第3項を除く。地域支援事業に係る国の交付金）並びに第123条第3項及び第4項（都道府県の負担）の規定の適用について、第122条の2第1項の「費用」から本事業として行う社会福祉法第106条の6第2項第3号イに掲げる事業に要する費用を除き、第123条第4項の「費用」から同条第2項第1号イ及び第3号ロに掲げる事業に要する費用を除くこととされている。重層的支援体制整備事業（社会福祉法第106条の4）と同じ構造である。除かれるのは国の交付金及び都道府県の負担の対象となる費用であり、当該費用は社会福祉法による交付金等により支弁されることとなる。除かれる事業の内容（第106条の6第2項第1号イ・第3号イ・第3号ロ）は確かめていない。小規模市町村の基準は厚生労働省令で定められるため、①（該当の有無）は引き続き確認を要する</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受託者が仮置きにより進めた事項（163件）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No.65</w:t>
            </w:r>
          </w:p>
        </w:tc>
        <w:tc>
          <w:tcPr>
            <w:tcW w:type="dxa" w:w="2608"/>
            <w:vAlign w:val="center"/>
          </w:tcPr>
          <w:p>
            <w:pPr>
              <w:spacing w:after="0"/>
            </w:pPr>
            <w:r>
              <w:rPr>
                <w:rFonts w:ascii="游ゴシック" w:hAnsi="游ゴシック" w:eastAsia="游ゴシック"/>
                <w:b w:val="0"/>
                <w:sz w:val="16"/>
              </w:rPr>
              <w:t>広域連合において行うべき事業の優先順位</w:t>
            </w:r>
          </w:p>
        </w:tc>
        <w:tc>
          <w:tcPr>
            <w:tcW w:type="dxa" w:w="4649"/>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No.66</w:t>
            </w:r>
          </w:p>
        </w:tc>
        <w:tc>
          <w:tcPr>
            <w:tcW w:type="dxa" w:w="2608"/>
            <w:shd w:val="clear" w:color="auto" w:fill="F2F5FA"/>
            <w:vAlign w:val="center"/>
          </w:tcPr>
          <w:p>
            <w:pPr>
              <w:spacing w:after="0"/>
            </w:pPr>
            <w:r>
              <w:rPr>
                <w:rFonts w:ascii="游ゴシック" w:hAnsi="游ゴシック" w:eastAsia="游ゴシック"/>
                <w:b w:val="0"/>
                <w:sz w:val="16"/>
              </w:rPr>
              <w:t>サービスガイドに掲載する事業所の範囲</w:t>
            </w:r>
          </w:p>
        </w:tc>
        <w:tc>
          <w:tcPr>
            <w:tcW w:type="dxa" w:w="4649"/>
            <w:shd w:val="clear" w:color="auto" w:fill="F2F5FA"/>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No.67</w:t>
            </w:r>
          </w:p>
        </w:tc>
        <w:tc>
          <w:tcPr>
            <w:tcW w:type="dxa" w:w="2608"/>
            <w:vAlign w:val="center"/>
          </w:tcPr>
          <w:p>
            <w:pPr>
              <w:spacing w:after="0"/>
            </w:pPr>
            <w:r>
              <w:rPr>
                <w:rFonts w:ascii="游ゴシック" w:hAnsi="游ゴシック" w:eastAsia="游ゴシック"/>
                <w:b w:val="0"/>
                <w:sz w:val="16"/>
              </w:rPr>
              <w:t>算定方法の国の様式との整合（点検結果）</w:t>
            </w:r>
          </w:p>
        </w:tc>
        <w:tc>
          <w:tcPr>
            <w:tcW w:type="dxa" w:w="4649"/>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vAlign w:val="center"/>
          </w:tcPr>
          <w:p>
            <w:pPr>
              <w:spacing w:after="0"/>
            </w:pPr>
            <w:r>
              <w:rPr>
                <w:rFonts w:ascii="游ゴシック" w:hAnsi="游ゴシック" w:eastAsia="游ゴシック"/>
                <w:b w:val="0"/>
                <w:sz w:val="16"/>
              </w:rPr>
              <w:t>第6章第3節・第6節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No.68</w:t>
            </w:r>
          </w:p>
        </w:tc>
        <w:tc>
          <w:tcPr>
            <w:tcW w:type="dxa" w:w="2608"/>
            <w:shd w:val="clear" w:color="auto" w:fill="F2F5FA"/>
            <w:vAlign w:val="center"/>
          </w:tcPr>
          <w:p>
            <w:pPr>
              <w:spacing w:after="0"/>
            </w:pPr>
            <w:r>
              <w:rPr>
                <w:rFonts w:ascii="游ゴシック" w:hAnsi="游ゴシック" w:eastAsia="游ゴシック"/>
                <w:b w:val="0"/>
                <w:sz w:val="16"/>
              </w:rPr>
              <w:t>見える化システムの自然体推計の再出力のお願い</w:t>
            </w:r>
          </w:p>
        </w:tc>
        <w:tc>
          <w:tcPr>
            <w:tcW w:type="dxa" w:w="4649"/>
            <w:shd w:val="clear" w:color="auto" w:fill="F2F5FA"/>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No.70</w:t>
            </w:r>
          </w:p>
        </w:tc>
        <w:tc>
          <w:tcPr>
            <w:tcW w:type="dxa" w:w="2608"/>
            <w:vAlign w:val="center"/>
          </w:tcPr>
          <w:p>
            <w:pPr>
              <w:spacing w:after="0"/>
            </w:pPr>
            <w:r>
              <w:rPr>
                <w:rFonts w:ascii="游ゴシック" w:hAnsi="游ゴシック" w:eastAsia="游ゴシック"/>
                <w:b w:val="0"/>
                <w:sz w:val="16"/>
              </w:rPr>
              <w:t>交付金の全国順位の計画本文への掲載</w:t>
            </w:r>
          </w:p>
        </w:tc>
        <w:tc>
          <w:tcPr>
            <w:tcW w:type="dxa" w:w="4649"/>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No.73</w:t>
            </w:r>
          </w:p>
        </w:tc>
        <w:tc>
          <w:tcPr>
            <w:tcW w:type="dxa" w:w="2608"/>
            <w:shd w:val="clear" w:color="auto" w:fill="F2F5FA"/>
            <w:vAlign w:val="center"/>
          </w:tcPr>
          <w:p>
            <w:pPr>
              <w:spacing w:after="0"/>
            </w:pPr>
            <w:r>
              <w:rPr>
                <w:rFonts w:ascii="游ゴシック" w:hAnsi="游ゴシック" w:eastAsia="游ゴシック"/>
                <w:b w:val="0"/>
                <w:sz w:val="16"/>
              </w:rPr>
              <w:t>ケアプラン点検実施要領（案）の確定に要する事項</w:t>
            </w:r>
          </w:p>
        </w:tc>
        <w:tc>
          <w:tcPr>
            <w:tcW w:type="dxa" w:w="4649"/>
            <w:shd w:val="clear" w:color="auto" w:fill="F2F5FA"/>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No.75</w:t>
            </w:r>
          </w:p>
        </w:tc>
        <w:tc>
          <w:tcPr>
            <w:tcW w:type="dxa" w:w="2608"/>
            <w:vAlign w:val="center"/>
          </w:tcPr>
          <w:p>
            <w:pPr>
              <w:spacing w:after="0"/>
            </w:pPr>
            <w:r>
              <w:rPr>
                <w:rFonts w:ascii="游ゴシック" w:hAnsi="游ゴシック" w:eastAsia="游ゴシック"/>
                <w:b w:val="0"/>
                <w:sz w:val="16"/>
              </w:rPr>
              <w:t>代表KPIと改善事項の再整理案</w:t>
            </w:r>
          </w:p>
        </w:tc>
        <w:tc>
          <w:tcPr>
            <w:tcW w:type="dxa" w:w="4649"/>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No.76</w:t>
            </w:r>
          </w:p>
        </w:tc>
        <w:tc>
          <w:tcPr>
            <w:tcW w:type="dxa" w:w="2608"/>
            <w:shd w:val="clear" w:color="auto" w:fill="F2F5FA"/>
            <w:vAlign w:val="center"/>
          </w:tcPr>
          <w:p>
            <w:pPr>
              <w:spacing w:after="0"/>
            </w:pPr>
            <w:r>
              <w:rPr>
                <w:rFonts w:ascii="游ゴシック" w:hAnsi="游ゴシック" w:eastAsia="游ゴシック"/>
                <w:b w:val="0"/>
                <w:sz w:val="16"/>
              </w:rPr>
              <w:t>介護リームスから抽出できる項目</w:t>
            </w:r>
          </w:p>
        </w:tc>
        <w:tc>
          <w:tcPr>
            <w:tcW w:type="dxa" w:w="4649"/>
            <w:shd w:val="clear" w:color="auto" w:fill="F2F5FA"/>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No.77</w:t>
            </w:r>
          </w:p>
        </w:tc>
        <w:tc>
          <w:tcPr>
            <w:tcW w:type="dxa" w:w="2608"/>
            <w:vAlign w:val="center"/>
          </w:tcPr>
          <w:p>
            <w:pPr>
              <w:spacing w:after="0"/>
            </w:pPr>
            <w:r>
              <w:rPr>
                <w:rFonts w:ascii="游ゴシック" w:hAnsi="游ゴシック" w:eastAsia="游ゴシック"/>
                <w:b w:val="0"/>
                <w:sz w:val="16"/>
              </w:rPr>
              <w:t>北海道の評価指標⑥の団体別の公表値</w:t>
            </w:r>
          </w:p>
        </w:tc>
        <w:tc>
          <w:tcPr>
            <w:tcW w:type="dxa" w:w="4649"/>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No.78</w:t>
            </w:r>
          </w:p>
        </w:tc>
        <w:tc>
          <w:tcPr>
            <w:tcW w:type="dxa" w:w="2608"/>
            <w:shd w:val="clear" w:color="auto" w:fill="F2F5FA"/>
            <w:vAlign w:val="center"/>
          </w:tcPr>
          <w:p>
            <w:pPr>
              <w:spacing w:after="0"/>
            </w:pPr>
            <w:r>
              <w:rPr>
                <w:rFonts w:ascii="游ゴシック" w:hAnsi="游ゴシック" w:eastAsia="游ゴシック"/>
                <w:b w:val="0"/>
                <w:sz w:val="16"/>
              </w:rPr>
              <w:t>グループホームびえいの郷の定員減の時期</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w:t>
            </w:r>
          </w:p>
        </w:tc>
      </w:tr>
      <w:tr>
        <w:trPr>
          <w:cantSplit/>
        </w:trPr>
        <w:tc>
          <w:tcPr>
            <w:tcW w:type="dxa" w:w="794"/>
            <w:vAlign w:val="center"/>
          </w:tcPr>
          <w:p>
            <w:pPr>
              <w:spacing w:after="0"/>
              <w:jc w:val="center"/>
            </w:pPr>
            <w:r>
              <w:rPr>
                <w:rFonts w:ascii="游ゴシック" w:hAnsi="游ゴシック" w:eastAsia="游ゴシック"/>
                <w:b w:val="0"/>
                <w:sz w:val="16"/>
              </w:rPr>
              <w:t>No.79</w:t>
            </w:r>
          </w:p>
        </w:tc>
        <w:tc>
          <w:tcPr>
            <w:tcW w:type="dxa" w:w="2608"/>
            <w:vAlign w:val="center"/>
          </w:tcPr>
          <w:p>
            <w:pPr>
              <w:spacing w:after="0"/>
            </w:pPr>
            <w:r>
              <w:rPr>
                <w:rFonts w:ascii="游ゴシック" w:hAnsi="游ゴシック" w:eastAsia="游ゴシック"/>
                <w:b w:val="0"/>
                <w:sz w:val="16"/>
              </w:rPr>
              <w:t>第5章の施策数の見直しの範囲</w:t>
            </w:r>
          </w:p>
        </w:tc>
        <w:tc>
          <w:tcPr>
            <w:tcW w:type="dxa" w:w="4649"/>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vAlign w:val="center"/>
          </w:tcPr>
          <w:p>
            <w:pPr>
              <w:spacing w:after="0"/>
            </w:pPr>
            <w:r>
              <w:rPr>
                <w:rFonts w:ascii="游ゴシック" w:hAnsi="游ゴシック" w:eastAsia="游ゴシック"/>
                <w:b w:val="0"/>
                <w:sz w:val="16"/>
              </w:rPr>
              <w:t>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No.81</w:t>
            </w:r>
          </w:p>
        </w:tc>
        <w:tc>
          <w:tcPr>
            <w:tcW w:type="dxa" w:w="2608"/>
            <w:shd w:val="clear" w:color="auto" w:fill="F2F5FA"/>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shd w:val="clear" w:color="auto" w:fill="F2F5FA"/>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No.95</w:t>
            </w:r>
          </w:p>
        </w:tc>
        <w:tc>
          <w:tcPr>
            <w:tcW w:type="dxa" w:w="2608"/>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vAlign w:val="center"/>
          </w:tcPr>
          <w:p>
            <w:pPr>
              <w:spacing w:after="0"/>
            </w:pPr>
            <w:r>
              <w:rPr>
                <w:rFonts w:ascii="游ゴシック" w:hAnsi="游ゴシック" w:eastAsia="游ゴシック"/>
                <w:b w:val="0"/>
                <w:sz w:val="16"/>
              </w:rPr>
              <w:t>第6章第4節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No.96</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第2章第3節6・第6章第4節4</w:t>
            </w:r>
          </w:p>
        </w:tc>
      </w:tr>
      <w:tr>
        <w:trPr>
          <w:cantSplit/>
        </w:trPr>
        <w:tc>
          <w:tcPr>
            <w:tcW w:type="dxa" w:w="794"/>
            <w:vAlign w:val="center"/>
          </w:tcPr>
          <w:p>
            <w:pPr>
              <w:spacing w:after="0"/>
              <w:jc w:val="center"/>
            </w:pPr>
            <w:r>
              <w:rPr>
                <w:rFonts w:ascii="游ゴシック" w:hAnsi="游ゴシック" w:eastAsia="游ゴシック"/>
                <w:b w:val="0"/>
                <w:sz w:val="16"/>
              </w:rPr>
              <w:t>No.102</w:t>
            </w:r>
          </w:p>
        </w:tc>
        <w:tc>
          <w:tcPr>
            <w:tcW w:type="dxa" w:w="2608"/>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No.122</w:t>
            </w:r>
          </w:p>
        </w:tc>
        <w:tc>
          <w:tcPr>
            <w:tcW w:type="dxa" w:w="2608"/>
            <w:shd w:val="clear" w:color="auto" w:fill="F2F5FA"/>
            <w:vAlign w:val="center"/>
          </w:tcPr>
          <w:p>
            <w:pPr>
              <w:spacing w:after="0"/>
            </w:pPr>
            <w:r>
              <w:rPr>
                <w:rFonts w:ascii="游ゴシック" w:hAnsi="游ゴシック" w:eastAsia="游ゴシック"/>
                <w:b w:val="0"/>
                <w:sz w:val="16"/>
              </w:rPr>
              <w:t>地域ケア会議関係資料の取扱いの確認</w:t>
            </w:r>
          </w:p>
        </w:tc>
        <w:tc>
          <w:tcPr>
            <w:tcW w:type="dxa" w:w="4649"/>
            <w:shd w:val="clear" w:color="auto" w:fill="F2F5FA"/>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No.30</w:t>
            </w:r>
          </w:p>
        </w:tc>
        <w:tc>
          <w:tcPr>
            <w:tcW w:type="dxa" w:w="2608"/>
            <w:vAlign w:val="center"/>
          </w:tcPr>
          <w:p>
            <w:pPr>
              <w:spacing w:after="0"/>
            </w:pPr>
            <w:r>
              <w:rPr>
                <w:rFonts w:ascii="游ゴシック" w:hAnsi="游ゴシック" w:eastAsia="游ゴシック"/>
                <w:b w:val="0"/>
                <w:sz w:val="16"/>
              </w:rPr>
              <w:t>施設入所者と在宅者を分けた要介護度の変化</w:t>
            </w:r>
          </w:p>
        </w:tc>
        <w:tc>
          <w:tcPr>
            <w:tcW w:type="dxa" w:w="4649"/>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No.34</w:t>
            </w:r>
          </w:p>
        </w:tc>
        <w:tc>
          <w:tcPr>
            <w:tcW w:type="dxa" w:w="2608"/>
            <w:shd w:val="clear" w:color="auto" w:fill="F2F5FA"/>
            <w:vAlign w:val="center"/>
          </w:tcPr>
          <w:p>
            <w:pPr>
              <w:spacing w:after="0"/>
            </w:pPr>
            <w:r>
              <w:rPr>
                <w:rFonts w:ascii="游ゴシック" w:hAnsi="游ゴシック" w:eastAsia="游ゴシック"/>
                <w:b w:val="0"/>
                <w:sz w:val="16"/>
              </w:rPr>
              <w:t>第9段階の乗率の経緯</w:t>
            </w:r>
          </w:p>
        </w:tc>
        <w:tc>
          <w:tcPr>
            <w:tcW w:type="dxa" w:w="4649"/>
            <w:shd w:val="clear" w:color="auto" w:fill="F2F5FA"/>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No.35</w:t>
            </w:r>
          </w:p>
        </w:tc>
        <w:tc>
          <w:tcPr>
            <w:tcW w:type="dxa" w:w="2608"/>
            <w:vAlign w:val="center"/>
          </w:tcPr>
          <w:p>
            <w:pPr>
              <w:spacing w:after="0"/>
            </w:pPr>
            <w:r>
              <w:rPr>
                <w:rFonts w:ascii="游ゴシック" w:hAnsi="游ゴシック" w:eastAsia="游ゴシック"/>
                <w:b w:val="0"/>
                <w:sz w:val="16"/>
              </w:rPr>
              <w:t>上川管内の保険者の所得段階数と乗率</w:t>
            </w:r>
          </w:p>
        </w:tc>
        <w:tc>
          <w:tcPr>
            <w:tcW w:type="dxa" w:w="4649"/>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No.36</w:t>
            </w:r>
          </w:p>
        </w:tc>
        <w:tc>
          <w:tcPr>
            <w:tcW w:type="dxa" w:w="2608"/>
            <w:shd w:val="clear" w:color="auto" w:fill="F2F5FA"/>
            <w:vAlign w:val="center"/>
          </w:tcPr>
          <w:p>
            <w:pPr>
              <w:spacing w:after="0"/>
            </w:pPr>
            <w:r>
              <w:rPr>
                <w:rFonts w:ascii="游ゴシック" w:hAnsi="游ゴシック" w:eastAsia="游ゴシック"/>
                <w:b w:val="0"/>
                <w:sz w:val="16"/>
              </w:rPr>
              <w:t>所得段階別被保険者数の実績と収納率</w:t>
            </w:r>
          </w:p>
        </w:tc>
        <w:tc>
          <w:tcPr>
            <w:tcW w:type="dxa" w:w="4649"/>
            <w:shd w:val="clear" w:color="auto" w:fill="F2F5FA"/>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第6章第6節5</w:t>
            </w:r>
          </w:p>
        </w:tc>
      </w:tr>
      <w:tr>
        <w:trPr>
          <w:cantSplit/>
        </w:trPr>
        <w:tc>
          <w:tcPr>
            <w:tcW w:type="dxa" w:w="794"/>
            <w:vAlign w:val="center"/>
          </w:tcPr>
          <w:p>
            <w:pPr>
              <w:spacing w:after="0"/>
              <w:jc w:val="center"/>
            </w:pPr>
            <w:r>
              <w:rPr>
                <w:rFonts w:ascii="游ゴシック" w:hAnsi="游ゴシック" w:eastAsia="游ゴシック"/>
                <w:b w:val="0"/>
                <w:sz w:val="16"/>
              </w:rPr>
              <w:t>No.115</w:t>
            </w:r>
          </w:p>
        </w:tc>
        <w:tc>
          <w:tcPr>
            <w:tcW w:type="dxa" w:w="2608"/>
            <w:vAlign w:val="center"/>
          </w:tcPr>
          <w:p>
            <w:pPr>
              <w:spacing w:after="0"/>
            </w:pPr>
            <w:r>
              <w:rPr>
                <w:rFonts w:ascii="游ゴシック" w:hAnsi="游ゴシック" w:eastAsia="游ゴシック"/>
                <w:b w:val="0"/>
                <w:sz w:val="16"/>
              </w:rPr>
              <w:t>令和9年4月に新設される区分を見込量に立てるか</w:t>
            </w:r>
          </w:p>
        </w:tc>
        <w:tc>
          <w:tcPr>
            <w:tcW w:type="dxa" w:w="4649"/>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No.124</w:t>
            </w:r>
          </w:p>
        </w:tc>
        <w:tc>
          <w:tcPr>
            <w:tcW w:type="dxa" w:w="2608"/>
            <w:shd w:val="clear" w:color="auto" w:fill="F2F5FA"/>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No.140</w:t>
            </w:r>
          </w:p>
        </w:tc>
        <w:tc>
          <w:tcPr>
            <w:tcW w:type="dxa" w:w="2608"/>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vAlign w:val="center"/>
          </w:tcPr>
          <w:p>
            <w:pPr>
              <w:spacing w:after="0"/>
            </w:pPr>
            <w:r>
              <w:rPr>
                <w:rFonts w:ascii="游ゴシック" w:hAnsi="游ゴシック" w:eastAsia="游ゴシック"/>
                <w:b w:val="0"/>
                <w:sz w:val="16"/>
              </w:rPr>
              <w:t>第2章第5節・第4章第3節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No.149</w:t>
            </w:r>
          </w:p>
        </w:tc>
        <w:tc>
          <w:tcPr>
            <w:tcW w:type="dxa" w:w="2608"/>
            <w:shd w:val="clear" w:color="auto" w:fill="F2F5FA"/>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shd w:val="clear" w:color="auto" w:fill="F2F5FA"/>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第1章第2節・第8節</w:t>
            </w:r>
          </w:p>
        </w:tc>
      </w:tr>
      <w:tr>
        <w:trPr>
          <w:cantSplit/>
        </w:trPr>
        <w:tc>
          <w:tcPr>
            <w:tcW w:type="dxa" w:w="794"/>
            <w:vAlign w:val="center"/>
          </w:tcPr>
          <w:p>
            <w:pPr>
              <w:spacing w:after="0"/>
              <w:jc w:val="center"/>
            </w:pPr>
            <w:r>
              <w:rPr>
                <w:rFonts w:ascii="游ゴシック" w:hAnsi="游ゴシック" w:eastAsia="游ゴシック"/>
                <w:b w:val="0"/>
                <w:sz w:val="16"/>
              </w:rPr>
              <w:t>No.3</w:t>
            </w:r>
          </w:p>
        </w:tc>
        <w:tc>
          <w:tcPr>
            <w:tcW w:type="dxa" w:w="2608"/>
            <w:vAlign w:val="center"/>
          </w:tcPr>
          <w:p>
            <w:pPr>
              <w:spacing w:after="0"/>
            </w:pPr>
            <w:r>
              <w:rPr>
                <w:rFonts w:ascii="游ゴシック" w:hAnsi="游ゴシック" w:eastAsia="游ゴシック"/>
                <w:b w:val="0"/>
                <w:sz w:val="16"/>
              </w:rPr>
              <w:t>類似保険者との比較分析の対象</w:t>
            </w:r>
          </w:p>
        </w:tc>
        <w:tc>
          <w:tcPr>
            <w:tcW w:type="dxa" w:w="4649"/>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vAlign w:val="center"/>
          </w:tcPr>
          <w:p>
            <w:pPr>
              <w:spacing w:after="0"/>
            </w:pPr>
            <w:r>
              <w:rPr>
                <w:rFonts w:ascii="游ゴシック" w:hAnsi="游ゴシック" w:eastAsia="游ゴシック"/>
                <w:b w:val="0"/>
                <w:sz w:val="16"/>
              </w:rPr>
              <w:t>第2章第2節1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w:t>
            </w:r>
          </w:p>
        </w:tc>
        <w:tc>
          <w:tcPr>
            <w:tcW w:type="dxa" w:w="2608"/>
            <w:shd w:val="clear" w:color="auto" w:fill="F2F5FA"/>
            <w:vAlign w:val="center"/>
          </w:tcPr>
          <w:p>
            <w:pPr>
              <w:spacing w:after="0"/>
            </w:pPr>
            <w:r>
              <w:rPr>
                <w:rFonts w:ascii="游ゴシック" w:hAnsi="游ゴシック" w:eastAsia="游ゴシック"/>
                <w:b w:val="0"/>
                <w:sz w:val="16"/>
              </w:rPr>
              <w:t>代表KPI H07・H08・H12・H16の代理指標</w:t>
            </w:r>
          </w:p>
        </w:tc>
        <w:tc>
          <w:tcPr>
            <w:tcW w:type="dxa" w:w="4649"/>
            <w:shd w:val="clear" w:color="auto" w:fill="F2F5FA"/>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No.5</w:t>
            </w:r>
          </w:p>
        </w:tc>
        <w:tc>
          <w:tcPr>
            <w:tcW w:type="dxa" w:w="2608"/>
            <w:vAlign w:val="center"/>
          </w:tcPr>
          <w:p>
            <w:pPr>
              <w:spacing w:after="0"/>
            </w:pPr>
            <w:r>
              <w:rPr>
                <w:rFonts w:ascii="游ゴシック" w:hAnsi="游ゴシック" w:eastAsia="游ゴシック"/>
                <w:b w:val="0"/>
                <w:sz w:val="16"/>
              </w:rPr>
              <w:t>第9期の施策・事業実績</w:t>
            </w:r>
          </w:p>
        </w:tc>
        <w:tc>
          <w:tcPr>
            <w:tcW w:type="dxa" w:w="4649"/>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w:t>
            </w:r>
          </w:p>
        </w:tc>
        <w:tc>
          <w:tcPr>
            <w:tcW w:type="dxa" w:w="2608"/>
            <w:shd w:val="clear" w:color="auto" w:fill="F2F5FA"/>
            <w:vAlign w:val="center"/>
          </w:tcPr>
          <w:p>
            <w:pPr>
              <w:spacing w:after="0"/>
            </w:pPr>
            <w:r>
              <w:rPr>
                <w:rFonts w:ascii="游ゴシック" w:hAnsi="游ゴシック" w:eastAsia="游ゴシック"/>
                <w:b w:val="0"/>
                <w:sz w:val="16"/>
              </w:rPr>
              <w:t>交付金の評価調書</w:t>
            </w:r>
          </w:p>
        </w:tc>
        <w:tc>
          <w:tcPr>
            <w:tcW w:type="dxa" w:w="4649"/>
            <w:shd w:val="clear" w:color="auto" w:fill="F2F5FA"/>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第3章第4節</w:t>
            </w:r>
          </w:p>
        </w:tc>
      </w:tr>
      <w:tr>
        <w:trPr>
          <w:cantSplit/>
        </w:trPr>
        <w:tc>
          <w:tcPr>
            <w:tcW w:type="dxa" w:w="794"/>
            <w:vAlign w:val="center"/>
          </w:tcPr>
          <w:p>
            <w:pPr>
              <w:spacing w:after="0"/>
              <w:jc w:val="center"/>
            </w:pPr>
            <w:r>
              <w:rPr>
                <w:rFonts w:ascii="游ゴシック" w:hAnsi="游ゴシック" w:eastAsia="游ゴシック"/>
                <w:b w:val="0"/>
                <w:sz w:val="16"/>
              </w:rPr>
              <w:t>No.8</w:t>
            </w:r>
          </w:p>
        </w:tc>
        <w:tc>
          <w:tcPr>
            <w:tcW w:type="dxa" w:w="2608"/>
            <w:vAlign w:val="center"/>
          </w:tcPr>
          <w:p>
            <w:pPr>
              <w:spacing w:after="0"/>
            </w:pPr>
            <w:r>
              <w:rPr>
                <w:rFonts w:ascii="游ゴシック" w:hAnsi="游ゴシック" w:eastAsia="游ゴシック"/>
                <w:b w:val="0"/>
                <w:sz w:val="16"/>
              </w:rPr>
              <w:t>3調査の点検事項の取扱い</w:t>
            </w:r>
          </w:p>
        </w:tc>
        <w:tc>
          <w:tcPr>
            <w:tcW w:type="dxa" w:w="4649"/>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vAlign w:val="center"/>
          </w:tcPr>
          <w:p>
            <w:pPr>
              <w:spacing w:after="0"/>
            </w:pPr>
            <w:r>
              <w:rPr>
                <w:rFonts w:ascii="游ゴシック" w:hAnsi="游ゴシック" w:eastAsia="游ゴシック"/>
                <w:b w:val="0"/>
                <w:sz w:val="16"/>
              </w:rPr>
              <w:t>第2章第5節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No.19</w:t>
            </w:r>
          </w:p>
        </w:tc>
        <w:tc>
          <w:tcPr>
            <w:tcW w:type="dxa" w:w="2608"/>
            <w:shd w:val="clear" w:color="auto" w:fill="F2F5FA"/>
            <w:vAlign w:val="center"/>
          </w:tcPr>
          <w:p>
            <w:pPr>
              <w:spacing w:after="0"/>
            </w:pPr>
            <w:r>
              <w:rPr>
                <w:rFonts w:ascii="游ゴシック" w:hAnsi="游ゴシック" w:eastAsia="游ゴシック"/>
                <w:b w:val="0"/>
                <w:sz w:val="16"/>
              </w:rPr>
              <w:t>会議日程とパブリックコメントの期間</w:t>
            </w:r>
          </w:p>
        </w:tc>
        <w:tc>
          <w:tcPr>
            <w:tcW w:type="dxa" w:w="4649"/>
            <w:shd w:val="clear" w:color="auto" w:fill="F2F5FA"/>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第1章第5節</w:t>
            </w:r>
          </w:p>
        </w:tc>
      </w:tr>
      <w:tr>
        <w:trPr>
          <w:cantSplit/>
        </w:trPr>
        <w:tc>
          <w:tcPr>
            <w:tcW w:type="dxa" w:w="794"/>
            <w:vAlign w:val="center"/>
          </w:tcPr>
          <w:p>
            <w:pPr>
              <w:spacing w:after="0"/>
              <w:jc w:val="center"/>
            </w:pPr>
            <w:r>
              <w:rPr>
                <w:rFonts w:ascii="游ゴシック" w:hAnsi="游ゴシック" w:eastAsia="游ゴシック"/>
                <w:b w:val="0"/>
                <w:sz w:val="16"/>
              </w:rPr>
              <w:t>No.42</w:t>
            </w:r>
          </w:p>
        </w:tc>
        <w:tc>
          <w:tcPr>
            <w:tcW w:type="dxa" w:w="2608"/>
            <w:vAlign w:val="center"/>
          </w:tcPr>
          <w:p>
            <w:pPr>
              <w:spacing w:after="0"/>
            </w:pPr>
            <w:r>
              <w:rPr>
                <w:rFonts w:ascii="游ゴシック" w:hAnsi="游ゴシック" w:eastAsia="游ゴシック"/>
                <w:b w:val="0"/>
                <w:sz w:val="16"/>
              </w:rPr>
              <w:t>キックオフ会議資料への工程表の反映</w:t>
            </w:r>
          </w:p>
        </w:tc>
        <w:tc>
          <w:tcPr>
            <w:tcW w:type="dxa" w:w="4649"/>
            <w:vAlign w:val="center"/>
          </w:tcPr>
          <w:p>
            <w:pPr>
              <w:spacing w:after="0"/>
            </w:pPr>
            <w:r>
              <w:rPr>
                <w:rFonts w:ascii="游ゴシック" w:hAnsi="游ゴシック" w:eastAsia="游ゴシック"/>
                <w:b w:val="0"/>
                <w:sz w:val="16"/>
              </w:rPr>
              <w:t>キックオフ会議資料の工程表は現行のまま進めた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w:t>
            </w:r>
          </w:p>
        </w:tc>
        <w:tc>
          <w:tcPr>
            <w:tcW w:type="dxa" w:w="2608"/>
            <w:shd w:val="clear" w:color="auto" w:fill="F2F5FA"/>
            <w:vAlign w:val="center"/>
          </w:tcPr>
          <w:p>
            <w:pPr>
              <w:spacing w:after="0"/>
            </w:pPr>
            <w:r>
              <w:rPr>
                <w:rFonts w:ascii="游ゴシック" w:hAnsi="游ゴシック" w:eastAsia="游ゴシック"/>
                <w:b w:val="0"/>
                <w:sz w:val="16"/>
              </w:rPr>
              <w:t>調査の対象者範囲と回収率</w:t>
            </w:r>
          </w:p>
        </w:tc>
        <w:tc>
          <w:tcPr>
            <w:tcW w:type="dxa" w:w="4649"/>
            <w:shd w:val="clear" w:color="auto" w:fill="F2F5FA"/>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No.10</w:t>
            </w:r>
          </w:p>
        </w:tc>
        <w:tc>
          <w:tcPr>
            <w:tcW w:type="dxa" w:w="2608"/>
            <w:vAlign w:val="center"/>
          </w:tcPr>
          <w:p>
            <w:pPr>
              <w:spacing w:after="0"/>
            </w:pPr>
            <w:r>
              <w:rPr>
                <w:rFonts w:ascii="游ゴシック" w:hAnsi="游ゴシック" w:eastAsia="游ゴシック"/>
                <w:b w:val="0"/>
                <w:sz w:val="16"/>
              </w:rPr>
              <w:t>介護人材実態調査の採用者数・退職者数</w:t>
            </w:r>
          </w:p>
        </w:tc>
        <w:tc>
          <w:tcPr>
            <w:tcW w:type="dxa" w:w="4649"/>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vAlign w:val="center"/>
          </w:tcPr>
          <w:p>
            <w:pPr>
              <w:spacing w:after="0"/>
            </w:pPr>
            <w:r>
              <w:rPr>
                <w:rFonts w:ascii="游ゴシック" w:hAnsi="游ゴシック" w:eastAsia="游ゴシック"/>
                <w:b w:val="0"/>
                <w:sz w:val="16"/>
              </w:rPr>
              <w:t>第2章第6節・第4章第3節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w:t>
            </w:r>
          </w:p>
        </w:tc>
        <w:tc>
          <w:tcPr>
            <w:tcW w:type="dxa" w:w="2608"/>
            <w:shd w:val="clear" w:color="auto" w:fill="F2F5FA"/>
            <w:vAlign w:val="center"/>
          </w:tcPr>
          <w:p>
            <w:pPr>
              <w:spacing w:after="0"/>
            </w:pPr>
            <w:r>
              <w:rPr>
                <w:rFonts w:ascii="游ゴシック" w:hAnsi="游ゴシック" w:eastAsia="游ゴシック"/>
                <w:b w:val="0"/>
                <w:sz w:val="16"/>
              </w:rPr>
              <w:t>町別の人口・世帯データ</w:t>
            </w:r>
          </w:p>
        </w:tc>
        <w:tc>
          <w:tcPr>
            <w:tcW w:type="dxa" w:w="4649"/>
            <w:shd w:val="clear" w:color="auto" w:fill="F2F5FA"/>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w:t>
            </w:r>
          </w:p>
        </w:tc>
      </w:tr>
      <w:tr>
        <w:trPr>
          <w:cantSplit/>
        </w:trPr>
        <w:tc>
          <w:tcPr>
            <w:tcW w:type="dxa" w:w="794"/>
            <w:vAlign w:val="center"/>
          </w:tcPr>
          <w:p>
            <w:pPr>
              <w:spacing w:after="0"/>
              <w:jc w:val="center"/>
            </w:pPr>
            <w:r>
              <w:rPr>
                <w:rFonts w:ascii="游ゴシック" w:hAnsi="游ゴシック" w:eastAsia="游ゴシック"/>
                <w:b w:val="0"/>
                <w:sz w:val="16"/>
              </w:rPr>
              <w:t>No.12</w:t>
            </w:r>
          </w:p>
        </w:tc>
        <w:tc>
          <w:tcPr>
            <w:tcW w:type="dxa" w:w="2608"/>
            <w:vAlign w:val="center"/>
          </w:tcPr>
          <w:p>
            <w:pPr>
              <w:spacing w:after="0"/>
            </w:pPr>
            <w:r>
              <w:rPr>
                <w:rFonts w:ascii="游ゴシック" w:hAnsi="游ゴシック" w:eastAsia="游ゴシック"/>
                <w:b w:val="0"/>
                <w:sz w:val="16"/>
              </w:rPr>
              <w:t>日常生活圏域別のデータ</w:t>
            </w:r>
          </w:p>
        </w:tc>
        <w:tc>
          <w:tcPr>
            <w:tcW w:type="dxa" w:w="4649"/>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vAlign w:val="center"/>
          </w:tcPr>
          <w:p>
            <w:pPr>
              <w:spacing w:after="0"/>
            </w:pPr>
            <w:r>
              <w:rPr>
                <w:rFonts w:ascii="游ゴシック" w:hAnsi="游ゴシック" w:eastAsia="游ゴシック"/>
                <w:b w:val="0"/>
                <w:sz w:val="16"/>
              </w:rPr>
              <w:t>第1章第7節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w:t>
            </w:r>
          </w:p>
        </w:tc>
        <w:tc>
          <w:tcPr>
            <w:tcW w:type="dxa" w:w="2608"/>
            <w:shd w:val="clear" w:color="auto" w:fill="F2F5FA"/>
            <w:vAlign w:val="center"/>
          </w:tcPr>
          <w:p>
            <w:pPr>
              <w:spacing w:after="0"/>
            </w:pPr>
            <w:r>
              <w:rPr>
                <w:rFonts w:ascii="游ゴシック" w:hAnsi="游ゴシック" w:eastAsia="游ゴシック"/>
                <w:b w:val="0"/>
                <w:sz w:val="16"/>
              </w:rPr>
              <w:t>骨子案の内容の確認</w:t>
            </w:r>
          </w:p>
        </w:tc>
        <w:tc>
          <w:tcPr>
            <w:tcW w:type="dxa" w:w="4649"/>
            <w:shd w:val="clear" w:color="auto" w:fill="F2F5FA"/>
            <w:vAlign w:val="center"/>
          </w:tcPr>
          <w:p>
            <w:pPr>
              <w:spacing w:after="0"/>
            </w:pPr>
            <w:r>
              <w:rPr>
                <w:rFonts w:ascii="游ゴシック" w:hAnsi="游ゴシック" w:eastAsia="游ゴシック"/>
                <w:b w:val="0"/>
                <w:sz w:val="16"/>
              </w:rPr>
              <w:t>骨子案は提出した内容のままとした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No.22</w:t>
            </w:r>
          </w:p>
        </w:tc>
        <w:tc>
          <w:tcPr>
            <w:tcW w:type="dxa" w:w="2608"/>
            <w:vAlign w:val="center"/>
          </w:tcPr>
          <w:p>
            <w:pPr>
              <w:spacing w:after="0"/>
            </w:pPr>
            <w:r>
              <w:rPr>
                <w:rFonts w:ascii="游ゴシック" w:hAnsi="游ゴシック" w:eastAsia="游ゴシック"/>
                <w:b w:val="0"/>
                <w:sz w:val="16"/>
              </w:rPr>
              <w:t>北海道の評価指標の読替えの考え方</w:t>
            </w:r>
          </w:p>
        </w:tc>
        <w:tc>
          <w:tcPr>
            <w:tcW w:type="dxa" w:w="4649"/>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vAlign w:val="center"/>
          </w:tcPr>
          <w:p>
            <w:pPr>
              <w:spacing w:after="0"/>
            </w:pPr>
            <w:r>
              <w:rPr>
                <w:rFonts w:ascii="游ゴシック" w:hAnsi="游ゴシック" w:eastAsia="游ゴシック"/>
                <w:b w:val="0"/>
                <w:sz w:val="16"/>
              </w:rPr>
              <w:t>第1章第6節・第8節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No.27</w:t>
            </w:r>
          </w:p>
        </w:tc>
        <w:tc>
          <w:tcPr>
            <w:tcW w:type="dxa" w:w="2608"/>
            <w:shd w:val="clear" w:color="auto" w:fill="F2F5FA"/>
            <w:vAlign w:val="center"/>
          </w:tcPr>
          <w:p>
            <w:pPr>
              <w:spacing w:after="0"/>
            </w:pPr>
            <w:r>
              <w:rPr>
                <w:rFonts w:ascii="游ゴシック" w:hAnsi="游ゴシック" w:eastAsia="游ゴシック"/>
                <w:b w:val="0"/>
                <w:sz w:val="16"/>
              </w:rPr>
              <w:t>令和4年度 健康とくらしの調査の集計表</w:t>
            </w:r>
          </w:p>
        </w:tc>
        <w:tc>
          <w:tcPr>
            <w:tcW w:type="dxa" w:w="4649"/>
            <w:shd w:val="clear" w:color="auto" w:fill="F2F5FA"/>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No.28</w:t>
            </w:r>
          </w:p>
        </w:tc>
        <w:tc>
          <w:tcPr>
            <w:tcW w:type="dxa" w:w="2608"/>
            <w:vAlign w:val="center"/>
          </w:tcPr>
          <w:p>
            <w:pPr>
              <w:spacing w:after="0"/>
            </w:pPr>
            <w:r>
              <w:rPr>
                <w:rFonts w:ascii="游ゴシック" w:hAnsi="游ゴシック" w:eastAsia="游ゴシック"/>
                <w:b w:val="0"/>
                <w:sz w:val="16"/>
              </w:rPr>
              <w:t>調査対象者の範囲の確認</w:t>
            </w:r>
          </w:p>
        </w:tc>
        <w:tc>
          <w:tcPr>
            <w:tcW w:type="dxa" w:w="4649"/>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No.38</w:t>
            </w:r>
          </w:p>
        </w:tc>
        <w:tc>
          <w:tcPr>
            <w:tcW w:type="dxa" w:w="2608"/>
            <w:shd w:val="clear" w:color="auto" w:fill="F2F5FA"/>
            <w:vAlign w:val="center"/>
          </w:tcPr>
          <w:p>
            <w:pPr>
              <w:spacing w:after="0"/>
            </w:pPr>
            <w:r>
              <w:rPr>
                <w:rFonts w:ascii="游ゴシック" w:hAnsi="游ゴシック" w:eastAsia="游ゴシック"/>
                <w:b w:val="0"/>
                <w:sz w:val="16"/>
              </w:rPr>
              <w:t>交付金評価の令和6年・令和7年調査の結果</w:t>
            </w:r>
          </w:p>
        </w:tc>
        <w:tc>
          <w:tcPr>
            <w:tcW w:type="dxa" w:w="4649"/>
            <w:shd w:val="clear" w:color="auto" w:fill="F2F5FA"/>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第3章第4節</w:t>
            </w:r>
          </w:p>
        </w:tc>
      </w:tr>
      <w:tr>
        <w:trPr>
          <w:cantSplit/>
        </w:trPr>
        <w:tc>
          <w:tcPr>
            <w:tcW w:type="dxa" w:w="794"/>
            <w:vAlign w:val="center"/>
          </w:tcPr>
          <w:p>
            <w:pPr>
              <w:spacing w:after="0"/>
              <w:jc w:val="center"/>
            </w:pPr>
            <w:r>
              <w:rPr>
                <w:rFonts w:ascii="游ゴシック" w:hAnsi="游ゴシック" w:eastAsia="游ゴシック"/>
                <w:b w:val="0"/>
                <w:sz w:val="16"/>
              </w:rPr>
              <w:t>No.46</w:t>
            </w:r>
          </w:p>
        </w:tc>
        <w:tc>
          <w:tcPr>
            <w:tcW w:type="dxa" w:w="2608"/>
            <w:vAlign w:val="center"/>
          </w:tcPr>
          <w:p>
            <w:pPr>
              <w:spacing w:after="0"/>
            </w:pPr>
            <w:r>
              <w:rPr>
                <w:rFonts w:ascii="游ゴシック" w:hAnsi="游ゴシック" w:eastAsia="游ゴシック"/>
                <w:b w:val="0"/>
                <w:sz w:val="16"/>
              </w:rPr>
              <w:t>令和7年度の給付費の集計が一致しない</w:t>
            </w:r>
          </w:p>
        </w:tc>
        <w:tc>
          <w:tcPr>
            <w:tcW w:type="dxa" w:w="4649"/>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No.47</w:t>
            </w:r>
          </w:p>
        </w:tc>
        <w:tc>
          <w:tcPr>
            <w:tcW w:type="dxa" w:w="2608"/>
            <w:shd w:val="clear" w:color="auto" w:fill="F2F5FA"/>
            <w:vAlign w:val="center"/>
          </w:tcPr>
          <w:p>
            <w:pPr>
              <w:spacing w:after="0"/>
            </w:pPr>
            <w:r>
              <w:rPr>
                <w:rFonts w:ascii="游ゴシック" w:hAnsi="游ゴシック" w:eastAsia="游ゴシック"/>
                <w:b w:val="0"/>
                <w:sz w:val="16"/>
              </w:rPr>
              <w:t>計画作成支援ツールの実績値シートの確認</w:t>
            </w:r>
          </w:p>
        </w:tc>
        <w:tc>
          <w:tcPr>
            <w:tcW w:type="dxa" w:w="4649"/>
            <w:shd w:val="clear" w:color="auto" w:fill="F2F5FA"/>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第6章第3節</w:t>
            </w:r>
          </w:p>
        </w:tc>
      </w:tr>
      <w:tr>
        <w:trPr>
          <w:cantSplit/>
        </w:trPr>
        <w:tc>
          <w:tcPr>
            <w:tcW w:type="dxa" w:w="794"/>
            <w:vAlign w:val="center"/>
          </w:tcPr>
          <w:p>
            <w:pPr>
              <w:spacing w:after="0"/>
              <w:jc w:val="center"/>
            </w:pPr>
            <w:r>
              <w:rPr>
                <w:rFonts w:ascii="游ゴシック" w:hAnsi="游ゴシック" w:eastAsia="游ゴシック"/>
                <w:b w:val="0"/>
                <w:sz w:val="16"/>
              </w:rPr>
              <w:t>No.48</w:t>
            </w:r>
          </w:p>
        </w:tc>
        <w:tc>
          <w:tcPr>
            <w:tcW w:type="dxa" w:w="2608"/>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vAlign w:val="center"/>
          </w:tcPr>
          <w:p>
            <w:pPr>
              <w:spacing w:after="0"/>
            </w:pPr>
            <w:r>
              <w:rPr>
                <w:rFonts w:ascii="游ゴシック" w:hAnsi="游ゴシック" w:eastAsia="游ゴシック"/>
                <w:b w:val="0"/>
                <w:sz w:val="16"/>
              </w:rPr>
              <w:t>第3章第1節・第2節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No.50</w:t>
            </w:r>
          </w:p>
        </w:tc>
        <w:tc>
          <w:tcPr>
            <w:tcW w:type="dxa" w:w="2608"/>
            <w:shd w:val="clear" w:color="auto" w:fill="F2F5FA"/>
            <w:vAlign w:val="center"/>
          </w:tcPr>
          <w:p>
            <w:pPr>
              <w:spacing w:after="0"/>
            </w:pPr>
            <w:r>
              <w:rPr>
                <w:rFonts w:ascii="游ゴシック" w:hAnsi="游ゴシック" w:eastAsia="游ゴシック"/>
                <w:b w:val="0"/>
                <w:sz w:val="16"/>
              </w:rPr>
              <w:t>年報・月報の受領に伴う確認</w:t>
            </w:r>
          </w:p>
        </w:tc>
        <w:tc>
          <w:tcPr>
            <w:tcW w:type="dxa" w:w="4649"/>
            <w:shd w:val="clear" w:color="auto" w:fill="F2F5FA"/>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第3章第1節・第6章第6節</w:t>
            </w:r>
          </w:p>
        </w:tc>
      </w:tr>
      <w:tr>
        <w:trPr>
          <w:cantSplit/>
        </w:trPr>
        <w:tc>
          <w:tcPr>
            <w:tcW w:type="dxa" w:w="794"/>
            <w:vAlign w:val="center"/>
          </w:tcPr>
          <w:p>
            <w:pPr>
              <w:spacing w:after="0"/>
              <w:jc w:val="center"/>
            </w:pPr>
            <w:r>
              <w:rPr>
                <w:rFonts w:ascii="游ゴシック" w:hAnsi="游ゴシック" w:eastAsia="游ゴシック"/>
                <w:b w:val="0"/>
                <w:sz w:val="16"/>
              </w:rPr>
              <w:t>No.51</w:t>
            </w:r>
          </w:p>
        </w:tc>
        <w:tc>
          <w:tcPr>
            <w:tcW w:type="dxa" w:w="2608"/>
            <w:vAlign w:val="center"/>
          </w:tcPr>
          <w:p>
            <w:pPr>
              <w:spacing w:after="0"/>
            </w:pPr>
            <w:r>
              <w:rPr>
                <w:rFonts w:ascii="游ゴシック" w:hAnsi="游ゴシック" w:eastAsia="游ゴシック"/>
                <w:b w:val="0"/>
                <w:sz w:val="16"/>
              </w:rPr>
              <w:t>月報の値の接続のずれ（ご報告）</w:t>
            </w:r>
          </w:p>
        </w:tc>
        <w:tc>
          <w:tcPr>
            <w:tcW w:type="dxa" w:w="4649"/>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No.52</w:t>
            </w:r>
          </w:p>
        </w:tc>
        <w:tc>
          <w:tcPr>
            <w:tcW w:type="dxa" w:w="2608"/>
            <w:shd w:val="clear" w:color="auto" w:fill="F2F5FA"/>
            <w:vAlign w:val="center"/>
          </w:tcPr>
          <w:p>
            <w:pPr>
              <w:spacing w:after="0"/>
            </w:pPr>
            <w:r>
              <w:rPr>
                <w:rFonts w:ascii="游ゴシック" w:hAnsi="游ゴシック" w:eastAsia="游ゴシック"/>
                <w:b w:val="0"/>
                <w:sz w:val="16"/>
              </w:rPr>
              <w:t>令和6年度決算書の受領に伴う確認</w:t>
            </w:r>
          </w:p>
        </w:tc>
        <w:tc>
          <w:tcPr>
            <w:tcW w:type="dxa" w:w="4649"/>
            <w:shd w:val="clear" w:color="auto" w:fill="F2F5FA"/>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No.53</w:t>
            </w:r>
          </w:p>
        </w:tc>
        <w:tc>
          <w:tcPr>
            <w:tcW w:type="dxa" w:w="2608"/>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No.54</w:t>
            </w:r>
          </w:p>
        </w:tc>
        <w:tc>
          <w:tcPr>
            <w:tcW w:type="dxa" w:w="2608"/>
            <w:shd w:val="clear" w:color="auto" w:fill="F2F5FA"/>
            <w:vAlign w:val="center"/>
          </w:tcPr>
          <w:p>
            <w:pPr>
              <w:spacing w:after="0"/>
            </w:pPr>
            <w:r>
              <w:rPr>
                <w:rFonts w:ascii="游ゴシック" w:hAnsi="游ゴシック" w:eastAsia="游ゴシック"/>
                <w:b w:val="0"/>
                <w:sz w:val="16"/>
              </w:rPr>
              <w:t>議事録の文書プロパティに個人名が再度入る</w:t>
            </w:r>
          </w:p>
        </w:tc>
        <w:tc>
          <w:tcPr>
            <w:tcW w:type="dxa" w:w="4649"/>
            <w:shd w:val="clear" w:color="auto" w:fill="F2F5FA"/>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No.55</w:t>
            </w:r>
          </w:p>
        </w:tc>
        <w:tc>
          <w:tcPr>
            <w:tcW w:type="dxa" w:w="2608"/>
            <w:vAlign w:val="center"/>
          </w:tcPr>
          <w:p>
            <w:pPr>
              <w:spacing w:after="0"/>
            </w:pPr>
            <w:r>
              <w:rPr>
                <w:rFonts w:ascii="游ゴシック" w:hAnsi="游ゴシック" w:eastAsia="游ゴシック"/>
                <w:b w:val="0"/>
                <w:sz w:val="16"/>
              </w:rPr>
              <w:t>議事録の表記に関するご提案3件</w:t>
            </w:r>
          </w:p>
        </w:tc>
        <w:tc>
          <w:tcPr>
            <w:tcW w:type="dxa" w:w="4649"/>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No.56</w:t>
            </w:r>
          </w:p>
        </w:tc>
        <w:tc>
          <w:tcPr>
            <w:tcW w:type="dxa" w:w="2608"/>
            <w:shd w:val="clear" w:color="auto" w:fill="F2F5FA"/>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shd w:val="clear" w:color="auto" w:fill="F2F5FA"/>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No.59</w:t>
            </w:r>
          </w:p>
        </w:tc>
        <w:tc>
          <w:tcPr>
            <w:tcW w:type="dxa" w:w="2608"/>
            <w:vAlign w:val="center"/>
          </w:tcPr>
          <w:p>
            <w:pPr>
              <w:spacing w:after="0"/>
            </w:pPr>
            <w:r>
              <w:rPr>
                <w:rFonts w:ascii="游ゴシック" w:hAnsi="游ゴシック" w:eastAsia="游ゴシック"/>
                <w:b w:val="0"/>
                <w:sz w:val="16"/>
              </w:rPr>
              <w:t>調整交付金の算定基礎の確認</w:t>
            </w:r>
          </w:p>
        </w:tc>
        <w:tc>
          <w:tcPr>
            <w:tcW w:type="dxa" w:w="4649"/>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vAlign w:val="center"/>
          </w:tcPr>
          <w:p>
            <w:pPr>
              <w:spacing w:after="0"/>
            </w:pPr>
            <w:r>
              <w:rPr>
                <w:rFonts w:ascii="游ゴシック" w:hAnsi="游ゴシック" w:eastAsia="游ゴシック"/>
                <w:b w:val="0"/>
                <w:sz w:val="16"/>
              </w:rPr>
              <w:t>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No.61</w:t>
            </w:r>
          </w:p>
        </w:tc>
        <w:tc>
          <w:tcPr>
            <w:tcW w:type="dxa" w:w="2608"/>
            <w:shd w:val="clear" w:color="auto" w:fill="F2F5FA"/>
            <w:vAlign w:val="center"/>
          </w:tcPr>
          <w:p>
            <w:pPr>
              <w:spacing w:after="0"/>
            </w:pPr>
            <w:r>
              <w:rPr>
                <w:rFonts w:ascii="游ゴシック" w:hAnsi="游ゴシック" w:eastAsia="游ゴシック"/>
                <w:b w:val="0"/>
                <w:sz w:val="16"/>
              </w:rPr>
              <w:t>交付金の評価項目と19施策の割当て</w:t>
            </w:r>
          </w:p>
        </w:tc>
        <w:tc>
          <w:tcPr>
            <w:tcW w:type="dxa" w:w="4649"/>
            <w:shd w:val="clear" w:color="auto" w:fill="F2F5FA"/>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No.80</w:t>
            </w:r>
          </w:p>
        </w:tc>
        <w:tc>
          <w:tcPr>
            <w:tcW w:type="dxa" w:w="2608"/>
            <w:vAlign w:val="center"/>
          </w:tcPr>
          <w:p>
            <w:pPr>
              <w:spacing w:after="0"/>
            </w:pPr>
            <w:r>
              <w:rPr>
                <w:rFonts w:ascii="游ゴシック" w:hAnsi="游ゴシック" w:eastAsia="游ゴシック"/>
                <w:b w:val="0"/>
                <w:sz w:val="16"/>
              </w:rPr>
              <w:t>職員個票のリストによる重複確認の可否</w:t>
            </w:r>
          </w:p>
        </w:tc>
        <w:tc>
          <w:tcPr>
            <w:tcW w:type="dxa" w:w="4649"/>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vAlign w:val="center"/>
          </w:tcPr>
          <w:p>
            <w:pPr>
              <w:spacing w:after="0"/>
            </w:pPr>
            <w:r>
              <w:rPr>
                <w:rFonts w:ascii="游ゴシック" w:hAnsi="游ゴシック" w:eastAsia="游ゴシック"/>
                <w:b w:val="0"/>
                <w:sz w:val="16"/>
              </w:rPr>
              <w:t>第2章第6節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No.83</w:t>
            </w:r>
          </w:p>
        </w:tc>
        <w:tc>
          <w:tcPr>
            <w:tcW w:type="dxa" w:w="2608"/>
            <w:shd w:val="clear" w:color="auto" w:fill="F2F5FA"/>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shd w:val="clear" w:color="auto" w:fill="F2F5FA"/>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No.85</w:t>
            </w:r>
          </w:p>
        </w:tc>
        <w:tc>
          <w:tcPr>
            <w:tcW w:type="dxa" w:w="2608"/>
            <w:vAlign w:val="center"/>
          </w:tcPr>
          <w:p>
            <w:pPr>
              <w:spacing w:after="0"/>
            </w:pPr>
            <w:r>
              <w:rPr>
                <w:rFonts w:ascii="游ゴシック" w:hAnsi="游ゴシック" w:eastAsia="游ゴシック"/>
                <w:b w:val="0"/>
                <w:sz w:val="16"/>
              </w:rPr>
              <w:t>町別データシートの内容と配付</w:t>
            </w:r>
          </w:p>
        </w:tc>
        <w:tc>
          <w:tcPr>
            <w:tcW w:type="dxa" w:w="4649"/>
            <w:vAlign w:val="center"/>
          </w:tcPr>
          <w:p>
            <w:pPr>
              <w:spacing w:after="0"/>
            </w:pPr>
            <w:r>
              <w:rPr>
                <w:rFonts w:ascii="游ゴシック" w:hAnsi="游ゴシック" w:eastAsia="游ゴシック"/>
                <w:b w:val="0"/>
                <w:sz w:val="16"/>
              </w:rPr>
              <w:t>町別データシートは現行の内容のまま配付する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No.60</w:t>
            </w:r>
          </w:p>
        </w:tc>
        <w:tc>
          <w:tcPr>
            <w:tcW w:type="dxa" w:w="2608"/>
            <w:shd w:val="clear" w:color="auto" w:fill="F2F5FA"/>
            <w:vAlign w:val="center"/>
          </w:tcPr>
          <w:p>
            <w:pPr>
              <w:spacing w:after="0"/>
            </w:pPr>
            <w:r>
              <w:rPr>
                <w:rFonts w:ascii="游ゴシック" w:hAnsi="游ゴシック" w:eastAsia="游ゴシック"/>
                <w:b w:val="0"/>
                <w:sz w:val="16"/>
              </w:rPr>
              <w:t>第10期の保険料算定の前提（受託者案）</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No.64</w:t>
            </w:r>
          </w:p>
        </w:tc>
        <w:tc>
          <w:tcPr>
            <w:tcW w:type="dxa" w:w="2608"/>
            <w:vAlign w:val="center"/>
          </w:tcPr>
          <w:p>
            <w:pPr>
              <w:spacing w:after="0"/>
            </w:pPr>
            <w:r>
              <w:rPr>
                <w:rFonts w:ascii="游ゴシック" w:hAnsi="游ゴシック" w:eastAsia="游ゴシック"/>
                <w:b w:val="0"/>
                <w:sz w:val="16"/>
              </w:rPr>
              <w:t>区域内に事業所がないサービスの住民向けの記載</w:t>
            </w:r>
          </w:p>
        </w:tc>
        <w:tc>
          <w:tcPr>
            <w:tcW w:type="dxa" w:w="4649"/>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No.69</w:t>
            </w:r>
          </w:p>
        </w:tc>
        <w:tc>
          <w:tcPr>
            <w:tcW w:type="dxa" w:w="2608"/>
            <w:shd w:val="clear" w:color="auto" w:fill="F2F5FA"/>
            <w:vAlign w:val="center"/>
          </w:tcPr>
          <w:p>
            <w:pPr>
              <w:spacing w:after="0"/>
            </w:pPr>
            <w:r>
              <w:rPr>
                <w:rFonts w:ascii="游ゴシック" w:hAnsi="游ゴシック" w:eastAsia="游ゴシック"/>
                <w:b w:val="0"/>
                <w:sz w:val="16"/>
              </w:rPr>
              <w:t>成果指向型配分枠（令和8年度新設）への対応</w:t>
            </w:r>
          </w:p>
        </w:tc>
        <w:tc>
          <w:tcPr>
            <w:tcW w:type="dxa" w:w="4649"/>
            <w:shd w:val="clear" w:color="auto" w:fill="F2F5FA"/>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第3章第4節</w:t>
            </w:r>
          </w:p>
        </w:tc>
      </w:tr>
      <w:tr>
        <w:trPr>
          <w:cantSplit/>
        </w:trPr>
        <w:tc>
          <w:tcPr>
            <w:tcW w:type="dxa" w:w="794"/>
            <w:vAlign w:val="center"/>
          </w:tcPr>
          <w:p>
            <w:pPr>
              <w:spacing w:after="0"/>
              <w:jc w:val="center"/>
            </w:pPr>
            <w:r>
              <w:rPr>
                <w:rFonts w:ascii="游ゴシック" w:hAnsi="游ゴシック" w:eastAsia="游ゴシック"/>
                <w:b w:val="0"/>
                <w:sz w:val="16"/>
              </w:rPr>
              <w:t>No.89</w:t>
            </w:r>
          </w:p>
        </w:tc>
        <w:tc>
          <w:tcPr>
            <w:tcW w:type="dxa" w:w="2608"/>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vAlign w:val="center"/>
          </w:tcPr>
          <w:p>
            <w:pPr>
              <w:spacing w:after="0"/>
            </w:pPr>
            <w:r>
              <w:rPr>
                <w:rFonts w:ascii="游ゴシック" w:hAnsi="游ゴシック" w:eastAsia="游ゴシック"/>
                <w:b w:val="0"/>
                <w:sz w:val="16"/>
              </w:rPr>
              <w:t>第1章第9節2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No.117</w:t>
            </w:r>
          </w:p>
        </w:tc>
        <w:tc>
          <w:tcPr>
            <w:tcW w:type="dxa" w:w="2608"/>
            <w:shd w:val="clear" w:color="auto" w:fill="F2F5FA"/>
            <w:vAlign w:val="center"/>
          </w:tcPr>
          <w:p>
            <w:pPr>
              <w:spacing w:after="0"/>
            </w:pPr>
            <w:r>
              <w:rPr>
                <w:rFonts w:ascii="游ゴシック" w:hAnsi="游ゴシック" w:eastAsia="游ゴシック"/>
                <w:b w:val="0"/>
                <w:sz w:val="16"/>
              </w:rPr>
              <w:t>成果品の統合の方針</w:t>
            </w:r>
          </w:p>
        </w:tc>
        <w:tc>
          <w:tcPr>
            <w:tcW w:type="dxa" w:w="4649"/>
            <w:shd w:val="clear" w:color="auto" w:fill="F2F5FA"/>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No.138</w:t>
            </w:r>
          </w:p>
        </w:tc>
        <w:tc>
          <w:tcPr>
            <w:tcW w:type="dxa" w:w="2608"/>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No.139</w:t>
            </w:r>
          </w:p>
        </w:tc>
        <w:tc>
          <w:tcPr>
            <w:tcW w:type="dxa" w:w="2608"/>
            <w:shd w:val="clear" w:color="auto" w:fill="F2F5FA"/>
            <w:vAlign w:val="center"/>
          </w:tcPr>
          <w:p>
            <w:pPr>
              <w:spacing w:after="0"/>
            </w:pPr>
            <w:r>
              <w:rPr>
                <w:rFonts w:ascii="游ゴシック" w:hAnsi="游ゴシック" w:eastAsia="游ゴシック"/>
                <w:b w:val="0"/>
                <w:sz w:val="16"/>
              </w:rPr>
              <w:t>健康とくらしの調査の個票の再提供の要否</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No.148</w:t>
            </w:r>
          </w:p>
        </w:tc>
        <w:tc>
          <w:tcPr>
            <w:tcW w:type="dxa" w:w="2608"/>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No.90</w:t>
            </w:r>
          </w:p>
        </w:tc>
        <w:tc>
          <w:tcPr>
            <w:tcW w:type="dxa" w:w="2608"/>
            <w:shd w:val="clear" w:color="auto" w:fill="F2F5FA"/>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shd w:val="clear" w:color="auto" w:fill="F2F5FA"/>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No.91</w:t>
            </w:r>
          </w:p>
        </w:tc>
        <w:tc>
          <w:tcPr>
            <w:tcW w:type="dxa" w:w="2608"/>
            <w:vAlign w:val="center"/>
          </w:tcPr>
          <w:p>
            <w:pPr>
              <w:spacing w:after="0"/>
            </w:pPr>
            <w:r>
              <w:rPr>
                <w:rFonts w:ascii="游ゴシック" w:hAnsi="游ゴシック" w:eastAsia="游ゴシック"/>
                <w:b w:val="0"/>
                <w:sz w:val="16"/>
              </w:rPr>
              <w:t>介護給付費通知及び給付実績の活用による確認等</w:t>
            </w:r>
          </w:p>
        </w:tc>
        <w:tc>
          <w:tcPr>
            <w:tcW w:type="dxa" w:w="4649"/>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No.92</w:t>
            </w:r>
          </w:p>
        </w:tc>
        <w:tc>
          <w:tcPr>
            <w:tcW w:type="dxa" w:w="2608"/>
            <w:shd w:val="clear" w:color="auto" w:fill="F2F5FA"/>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shd w:val="clear" w:color="auto" w:fill="F2F5FA"/>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No.97</w:t>
            </w:r>
          </w:p>
        </w:tc>
        <w:tc>
          <w:tcPr>
            <w:tcW w:type="dxa" w:w="2608"/>
            <w:vAlign w:val="center"/>
          </w:tcPr>
          <w:p>
            <w:pPr>
              <w:spacing w:after="0"/>
            </w:pPr>
            <w:r>
              <w:rPr>
                <w:rFonts w:ascii="游ゴシック" w:hAnsi="游ゴシック" w:eastAsia="游ゴシック"/>
                <w:b w:val="0"/>
                <w:sz w:val="16"/>
              </w:rPr>
              <w:t>令和9年4月1日から義務となる2件への対応</w:t>
            </w:r>
          </w:p>
        </w:tc>
        <w:tc>
          <w:tcPr>
            <w:tcW w:type="dxa" w:w="4649"/>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No.99</w:t>
            </w:r>
          </w:p>
        </w:tc>
        <w:tc>
          <w:tcPr>
            <w:tcW w:type="dxa" w:w="2608"/>
            <w:shd w:val="clear" w:color="auto" w:fill="F2F5FA"/>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shd w:val="clear" w:color="auto" w:fill="F2F5FA"/>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No.108</w:t>
            </w:r>
          </w:p>
        </w:tc>
        <w:tc>
          <w:tcPr>
            <w:tcW w:type="dxa" w:w="2608"/>
            <w:vAlign w:val="center"/>
          </w:tcPr>
          <w:p>
            <w:pPr>
              <w:spacing w:after="0"/>
            </w:pPr>
            <w:r>
              <w:rPr>
                <w:rFonts w:ascii="游ゴシック" w:hAnsi="游ゴシック" w:eastAsia="游ゴシック"/>
                <w:b w:val="0"/>
                <w:sz w:val="16"/>
              </w:rPr>
              <w:t>補正しても外れるサービス6件の理由</w:t>
            </w:r>
          </w:p>
        </w:tc>
        <w:tc>
          <w:tcPr>
            <w:tcW w:type="dxa" w:w="4649"/>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No.111</w:t>
            </w:r>
          </w:p>
        </w:tc>
        <w:tc>
          <w:tcPr>
            <w:tcW w:type="dxa" w:w="2608"/>
            <w:shd w:val="clear" w:color="auto" w:fill="F2F5FA"/>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shd w:val="clear" w:color="auto" w:fill="F2F5FA"/>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No.118</w:t>
            </w:r>
          </w:p>
        </w:tc>
        <w:tc>
          <w:tcPr>
            <w:tcW w:type="dxa" w:w="2608"/>
            <w:vAlign w:val="center"/>
          </w:tcPr>
          <w:p>
            <w:pPr>
              <w:spacing w:after="0"/>
            </w:pPr>
            <w:r>
              <w:rPr>
                <w:rFonts w:ascii="游ゴシック" w:hAnsi="游ゴシック" w:eastAsia="游ゴシック"/>
                <w:b w:val="0"/>
                <w:sz w:val="16"/>
              </w:rPr>
              <w:t>施策2-5の代表KPIを「施策化への転換率」とするか</w:t>
            </w:r>
          </w:p>
        </w:tc>
        <w:tc>
          <w:tcPr>
            <w:tcW w:type="dxa" w:w="4649"/>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No.119</w:t>
            </w:r>
          </w:p>
        </w:tc>
        <w:tc>
          <w:tcPr>
            <w:tcW w:type="dxa" w:w="2608"/>
            <w:shd w:val="clear" w:color="auto" w:fill="F2F5FA"/>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shd w:val="clear" w:color="auto" w:fill="F2F5FA"/>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No.120</w:t>
            </w:r>
          </w:p>
        </w:tc>
        <w:tc>
          <w:tcPr>
            <w:tcW w:type="dxa" w:w="2608"/>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No.121</w:t>
            </w:r>
          </w:p>
        </w:tc>
        <w:tc>
          <w:tcPr>
            <w:tcW w:type="dxa" w:w="2608"/>
            <w:shd w:val="clear" w:color="auto" w:fill="F2F5FA"/>
            <w:vAlign w:val="center"/>
          </w:tcPr>
          <w:p>
            <w:pPr>
              <w:spacing w:after="0"/>
            </w:pPr>
            <w:r>
              <w:rPr>
                <w:rFonts w:ascii="游ゴシック" w:hAnsi="游ゴシック" w:eastAsia="游ゴシック"/>
                <w:b w:val="0"/>
                <w:sz w:val="16"/>
              </w:rPr>
              <w:t>3町の地域ケア会議の実績（令和6〜8年度）のご提供</w:t>
            </w:r>
          </w:p>
        </w:tc>
        <w:tc>
          <w:tcPr>
            <w:tcW w:type="dxa" w:w="4649"/>
            <w:shd w:val="clear" w:color="auto" w:fill="F2F5FA"/>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No.125</w:t>
            </w:r>
          </w:p>
        </w:tc>
        <w:tc>
          <w:tcPr>
            <w:tcW w:type="dxa" w:w="2608"/>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No.127</w:t>
            </w:r>
          </w:p>
        </w:tc>
        <w:tc>
          <w:tcPr>
            <w:tcW w:type="dxa" w:w="2608"/>
            <w:shd w:val="clear" w:color="auto" w:fill="F2F5FA"/>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No.133</w:t>
            </w:r>
          </w:p>
        </w:tc>
        <w:tc>
          <w:tcPr>
            <w:tcW w:type="dxa" w:w="2608"/>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No.136</w:t>
            </w:r>
          </w:p>
        </w:tc>
        <w:tc>
          <w:tcPr>
            <w:tcW w:type="dxa" w:w="2608"/>
            <w:shd w:val="clear" w:color="auto" w:fill="F2F5FA"/>
            <w:vAlign w:val="center"/>
          </w:tcPr>
          <w:p>
            <w:pPr>
              <w:spacing w:after="0"/>
            </w:pPr>
            <w:r>
              <w:rPr>
                <w:rFonts w:ascii="游ゴシック" w:hAnsi="游ゴシック" w:eastAsia="游ゴシック"/>
                <w:b w:val="0"/>
                <w:sz w:val="16"/>
              </w:rPr>
              <w:t>画面の令和7年度と年報の月平均の食い違い</w:t>
            </w:r>
          </w:p>
        </w:tc>
        <w:tc>
          <w:tcPr>
            <w:tcW w:type="dxa" w:w="4649"/>
            <w:shd w:val="clear" w:color="auto" w:fill="F2F5FA"/>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No.143</w:t>
            </w:r>
          </w:p>
        </w:tc>
        <w:tc>
          <w:tcPr>
            <w:tcW w:type="dxa" w:w="2608"/>
            <w:vAlign w:val="center"/>
          </w:tcPr>
          <w:p>
            <w:pPr>
              <w:spacing w:after="0"/>
            </w:pPr>
            <w:r>
              <w:rPr>
                <w:rFonts w:ascii="游ゴシック" w:hAnsi="游ゴシック" w:eastAsia="游ゴシック"/>
                <w:b w:val="0"/>
                <w:sz w:val="16"/>
              </w:rPr>
              <w:t>計画素案の未確定箇所の表示の統一</w:t>
            </w:r>
          </w:p>
        </w:tc>
        <w:tc>
          <w:tcPr>
            <w:tcW w:type="dxa" w:w="4649"/>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vAlign w:val="center"/>
          </w:tcPr>
          <w:p>
            <w:pPr>
              <w:spacing w:after="0"/>
            </w:pPr>
            <w:r>
              <w:rPr>
                <w:rFonts w:ascii="游ゴシック" w:hAnsi="游ゴシック" w:eastAsia="游ゴシック"/>
                <w:b w:val="0"/>
                <w:sz w:val="16"/>
              </w:rPr>
              <w:t>資料7</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No.154</w:t>
            </w:r>
          </w:p>
        </w:tc>
        <w:tc>
          <w:tcPr>
            <w:tcW w:type="dxa" w:w="2608"/>
            <w:shd w:val="clear" w:color="auto" w:fill="F2F5FA"/>
            <w:vAlign w:val="center"/>
          </w:tcPr>
          <w:p>
            <w:pPr>
              <w:spacing w:after="0"/>
            </w:pPr>
            <w:r>
              <w:rPr>
                <w:rFonts w:ascii="游ゴシック" w:hAnsi="游ゴシック" w:eastAsia="游ゴシック"/>
                <w:b w:val="0"/>
                <w:sz w:val="16"/>
              </w:rPr>
              <w:t>計画素案 第2章第1節に町別の図を加えるか</w:t>
            </w:r>
          </w:p>
        </w:tc>
        <w:tc>
          <w:tcPr>
            <w:tcW w:type="dxa" w:w="4649"/>
            <w:shd w:val="clear" w:color="auto" w:fill="F2F5FA"/>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No.157</w:t>
            </w:r>
          </w:p>
        </w:tc>
        <w:tc>
          <w:tcPr>
            <w:tcW w:type="dxa" w:w="2608"/>
            <w:vAlign w:val="center"/>
          </w:tcPr>
          <w:p>
            <w:pPr>
              <w:spacing w:after="0"/>
            </w:pPr>
            <w:r>
              <w:rPr>
                <w:rFonts w:ascii="游ゴシック" w:hAnsi="游ゴシック" w:eastAsia="游ゴシック"/>
                <w:b w:val="0"/>
                <w:sz w:val="16"/>
              </w:rPr>
              <w:t>中長期推計を令和12・27・32年度まで広げるか</w:t>
            </w:r>
          </w:p>
        </w:tc>
        <w:tc>
          <w:tcPr>
            <w:tcW w:type="dxa" w:w="4649"/>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No.158</w:t>
            </w:r>
          </w:p>
        </w:tc>
        <w:tc>
          <w:tcPr>
            <w:tcW w:type="dxa" w:w="2608"/>
            <w:shd w:val="clear" w:color="auto" w:fill="F2F5FA"/>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shd w:val="clear" w:color="auto" w:fill="F2F5FA"/>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No.159</w:t>
            </w:r>
          </w:p>
        </w:tc>
        <w:tc>
          <w:tcPr>
            <w:tcW w:type="dxa" w:w="2608"/>
            <w:vAlign w:val="center"/>
          </w:tcPr>
          <w:p>
            <w:pPr>
              <w:spacing w:after="0"/>
            </w:pPr>
            <w:r>
              <w:rPr>
                <w:rFonts w:ascii="游ゴシック" w:hAnsi="游ゴシック" w:eastAsia="游ゴシック"/>
                <w:b w:val="0"/>
                <w:sz w:val="16"/>
              </w:rPr>
              <w:t>東川町の通いの場の整備と担い手の確保</w:t>
            </w:r>
          </w:p>
        </w:tc>
        <w:tc>
          <w:tcPr>
            <w:tcW w:type="dxa" w:w="4649"/>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No.160</w:t>
            </w:r>
          </w:p>
        </w:tc>
        <w:tc>
          <w:tcPr>
            <w:tcW w:type="dxa" w:w="2608"/>
            <w:shd w:val="clear" w:color="auto" w:fill="F2F5FA"/>
            <w:vAlign w:val="center"/>
          </w:tcPr>
          <w:p>
            <w:pPr>
              <w:spacing w:after="0"/>
            </w:pPr>
            <w:r>
              <w:rPr>
                <w:rFonts w:ascii="游ゴシック" w:hAnsi="游ゴシック" w:eastAsia="游ゴシック"/>
                <w:b w:val="0"/>
                <w:sz w:val="16"/>
              </w:rPr>
              <w:t>東川町の認知症サポーター養成講座の実施状況</w:t>
            </w:r>
          </w:p>
        </w:tc>
        <w:tc>
          <w:tcPr>
            <w:tcW w:type="dxa" w:w="4649"/>
            <w:shd w:val="clear" w:color="auto" w:fill="F2F5FA"/>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No.161</w:t>
            </w:r>
          </w:p>
        </w:tc>
        <w:tc>
          <w:tcPr>
            <w:tcW w:type="dxa" w:w="2608"/>
            <w:vAlign w:val="center"/>
          </w:tcPr>
          <w:p>
            <w:pPr>
              <w:spacing w:after="0"/>
            </w:pPr>
            <w:r>
              <w:rPr>
                <w:rFonts w:ascii="游ゴシック" w:hAnsi="游ゴシック" w:eastAsia="游ゴシック"/>
                <w:b w:val="0"/>
                <w:sz w:val="16"/>
              </w:rPr>
              <w:t>東川町のチームオレンジ事業の位置づけ</w:t>
            </w:r>
          </w:p>
        </w:tc>
        <w:tc>
          <w:tcPr>
            <w:tcW w:type="dxa" w:w="4649"/>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No.162</w:t>
            </w:r>
          </w:p>
        </w:tc>
        <w:tc>
          <w:tcPr>
            <w:tcW w:type="dxa" w:w="2608"/>
            <w:shd w:val="clear" w:color="auto" w:fill="F2F5FA"/>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shd w:val="clear" w:color="auto" w:fill="F2F5FA"/>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No.163</w:t>
            </w:r>
          </w:p>
        </w:tc>
        <w:tc>
          <w:tcPr>
            <w:tcW w:type="dxa" w:w="2608"/>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w:t>
            </w:r>
          </w:p>
        </w:tc>
        <w:tc>
          <w:tcPr>
            <w:tcW w:type="dxa" w:w="2608"/>
            <w:shd w:val="clear" w:color="auto" w:fill="F2F5FA"/>
            <w:vAlign w:val="center"/>
          </w:tcPr>
          <w:p>
            <w:pPr>
              <w:spacing w:after="0"/>
            </w:pPr>
            <w:r>
              <w:rPr>
                <w:rFonts w:ascii="游ゴシック" w:hAnsi="游ゴシック" w:eastAsia="游ゴシック"/>
                <w:b w:val="0"/>
                <w:sz w:val="16"/>
              </w:rPr>
              <w:t>保険料算定の前提</w:t>
            </w:r>
          </w:p>
        </w:tc>
        <w:tc>
          <w:tcPr>
            <w:tcW w:type="dxa" w:w="4649"/>
            <w:shd w:val="clear" w:color="auto" w:fill="F2F5FA"/>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No.164</w:t>
            </w:r>
          </w:p>
        </w:tc>
        <w:tc>
          <w:tcPr>
            <w:tcW w:type="dxa" w:w="2608"/>
            <w:vAlign w:val="center"/>
          </w:tcPr>
          <w:p>
            <w:pPr>
              <w:spacing w:after="0"/>
            </w:pPr>
            <w:r>
              <w:rPr>
                <w:rFonts w:ascii="游ゴシック" w:hAnsi="游ゴシック" w:eastAsia="游ゴシック"/>
                <w:b w:val="0"/>
                <w:sz w:val="16"/>
              </w:rPr>
              <w:t>美瑛町の地域密着型介護老人福祉施設の整備方針</w:t>
            </w:r>
          </w:p>
        </w:tc>
        <w:tc>
          <w:tcPr>
            <w:tcW w:type="dxa" w:w="4649"/>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No.165</w:t>
            </w:r>
          </w:p>
        </w:tc>
        <w:tc>
          <w:tcPr>
            <w:tcW w:type="dxa" w:w="2608"/>
            <w:shd w:val="clear" w:color="auto" w:fill="F2F5FA"/>
            <w:vAlign w:val="center"/>
          </w:tcPr>
          <w:p>
            <w:pPr>
              <w:spacing w:after="0"/>
            </w:pPr>
            <w:r>
              <w:rPr>
                <w:rFonts w:ascii="游ゴシック" w:hAnsi="游ゴシック" w:eastAsia="游ゴシック"/>
                <w:b w:val="0"/>
                <w:sz w:val="16"/>
              </w:rPr>
              <w:t>美瑛町の難聴高齢者の早期発見・早期介入の取組</w:t>
            </w:r>
          </w:p>
        </w:tc>
        <w:tc>
          <w:tcPr>
            <w:tcW w:type="dxa" w:w="4649"/>
            <w:shd w:val="clear" w:color="auto" w:fill="F2F5FA"/>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No.166</w:t>
            </w:r>
          </w:p>
        </w:tc>
        <w:tc>
          <w:tcPr>
            <w:tcW w:type="dxa" w:w="2608"/>
            <w:vAlign w:val="center"/>
          </w:tcPr>
          <w:p>
            <w:pPr>
              <w:spacing w:after="0"/>
            </w:pPr>
            <w:r>
              <w:rPr>
                <w:rFonts w:ascii="游ゴシック" w:hAnsi="游ゴシック" w:eastAsia="游ゴシック"/>
                <w:b w:val="0"/>
                <w:sz w:val="16"/>
              </w:rPr>
              <w:t>東神楽町の通いの場の維持</w:t>
            </w:r>
          </w:p>
        </w:tc>
        <w:tc>
          <w:tcPr>
            <w:tcW w:type="dxa" w:w="4649"/>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No.167</w:t>
            </w:r>
          </w:p>
        </w:tc>
        <w:tc>
          <w:tcPr>
            <w:tcW w:type="dxa" w:w="2608"/>
            <w:shd w:val="clear" w:color="auto" w:fill="F2F5FA"/>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shd w:val="clear" w:color="auto" w:fill="F2F5FA"/>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No.170</w:t>
            </w:r>
          </w:p>
        </w:tc>
        <w:tc>
          <w:tcPr>
            <w:tcW w:type="dxa" w:w="2608"/>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No.172</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shd w:val="clear" w:color="auto" w:fill="F2F5FA"/>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No.174</w:t>
            </w:r>
          </w:p>
        </w:tc>
        <w:tc>
          <w:tcPr>
            <w:tcW w:type="dxa" w:w="2608"/>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w:t>
            </w:r>
          </w:p>
        </w:tc>
        <w:tc>
          <w:tcPr>
            <w:tcW w:type="dxa" w:w="2608"/>
            <w:shd w:val="clear" w:color="auto" w:fill="F2F5FA"/>
            <w:vAlign w:val="center"/>
          </w:tcPr>
          <w:p>
            <w:pPr>
              <w:spacing w:after="0"/>
            </w:pPr>
            <w:r>
              <w:rPr>
                <w:rFonts w:ascii="游ゴシック" w:hAnsi="游ゴシック" w:eastAsia="游ゴシック"/>
                <w:b w:val="0"/>
                <w:sz w:val="16"/>
              </w:rPr>
              <w:t>特定地域の指定に係る意向表明の手続</w:t>
            </w:r>
          </w:p>
        </w:tc>
        <w:tc>
          <w:tcPr>
            <w:tcW w:type="dxa" w:w="4649"/>
            <w:shd w:val="clear" w:color="auto" w:fill="F2F5FA"/>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No.13</w:t>
            </w:r>
          </w:p>
        </w:tc>
        <w:tc>
          <w:tcPr>
            <w:tcW w:type="dxa" w:w="2608"/>
            <w:vAlign w:val="center"/>
          </w:tcPr>
          <w:p>
            <w:pPr>
              <w:spacing w:after="0"/>
            </w:pPr>
            <w:r>
              <w:rPr>
                <w:rFonts w:ascii="游ゴシック" w:hAnsi="游ゴシック" w:eastAsia="游ゴシック"/>
                <w:b w:val="0"/>
                <w:sz w:val="16"/>
              </w:rPr>
              <w:t>訪問・通所困難地域の判定資料</w:t>
            </w:r>
          </w:p>
        </w:tc>
        <w:tc>
          <w:tcPr>
            <w:tcW w:type="dxa" w:w="4649"/>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vAlign w:val="center"/>
          </w:tcPr>
          <w:p>
            <w:pPr>
              <w:spacing w:after="0"/>
            </w:pPr>
            <w:r>
              <w:rPr>
                <w:rFonts w:ascii="游ゴシック" w:hAnsi="游ゴシック" w:eastAsia="游ゴシック"/>
                <w:b w:val="0"/>
                <w:sz w:val="16"/>
              </w:rPr>
              <w:t>第1章第7節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w:t>
            </w:r>
          </w:p>
        </w:tc>
        <w:tc>
          <w:tcPr>
            <w:tcW w:type="dxa" w:w="2608"/>
            <w:shd w:val="clear" w:color="auto" w:fill="F2F5FA"/>
            <w:vAlign w:val="center"/>
          </w:tcPr>
          <w:p>
            <w:pPr>
              <w:spacing w:after="0"/>
            </w:pPr>
            <w:r>
              <w:rPr>
                <w:rFonts w:ascii="游ゴシック" w:hAnsi="游ゴシック" w:eastAsia="游ゴシック"/>
                <w:b w:val="0"/>
                <w:sz w:val="16"/>
              </w:rPr>
              <w:t>人口推計の基礎とする系列</w:t>
            </w:r>
          </w:p>
        </w:tc>
        <w:tc>
          <w:tcPr>
            <w:tcW w:type="dxa" w:w="4649"/>
            <w:shd w:val="clear" w:color="auto" w:fill="F2F5FA"/>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No.15</w:t>
            </w:r>
          </w:p>
        </w:tc>
        <w:tc>
          <w:tcPr>
            <w:tcW w:type="dxa" w:w="2608"/>
            <w:vAlign w:val="center"/>
          </w:tcPr>
          <w:p>
            <w:pPr>
              <w:spacing w:after="0"/>
            </w:pPr>
            <w:r>
              <w:rPr>
                <w:rFonts w:ascii="游ゴシック" w:hAnsi="游ゴシック" w:eastAsia="游ゴシック"/>
                <w:b w:val="0"/>
                <w:sz w:val="16"/>
              </w:rPr>
              <w:t>認定者数の基準月と月次推移</w:t>
            </w:r>
          </w:p>
        </w:tc>
        <w:tc>
          <w:tcPr>
            <w:tcW w:type="dxa" w:w="4649"/>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w:t>
            </w:r>
          </w:p>
        </w:tc>
        <w:tc>
          <w:tcPr>
            <w:tcW w:type="dxa" w:w="2608"/>
            <w:shd w:val="clear" w:color="auto" w:fill="F2F5FA"/>
            <w:vAlign w:val="center"/>
          </w:tcPr>
          <w:p>
            <w:pPr>
              <w:spacing w:after="0"/>
            </w:pPr>
            <w:r>
              <w:rPr>
                <w:rFonts w:ascii="游ゴシック" w:hAnsi="游ゴシック" w:eastAsia="游ゴシック"/>
                <w:b w:val="0"/>
                <w:sz w:val="16"/>
              </w:rPr>
              <w:t>3町計画への共通指標の掲載</w:t>
            </w:r>
          </w:p>
        </w:tc>
        <w:tc>
          <w:tcPr>
            <w:tcW w:type="dxa" w:w="4649"/>
            <w:shd w:val="clear" w:color="auto" w:fill="F2F5FA"/>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shd w:val="clear" w:color="auto" w:fill="F2F5FA"/>
            <w:vAlign w:val="center"/>
          </w:tcPr>
          <w:p>
            <w:pPr>
              <w:spacing w:after="0"/>
            </w:pPr>
            <w:r>
              <w:rPr>
                <w:rFonts w:ascii="游ゴシック" w:hAnsi="游ゴシック" w:eastAsia="游ゴシック"/>
                <w:b w:val="0"/>
                <w:sz w:val="16"/>
              </w:rPr>
              <w:t>資料2</w:t>
            </w:r>
          </w:p>
        </w:tc>
      </w:tr>
      <w:tr>
        <w:trPr>
          <w:cantSplit/>
        </w:trPr>
        <w:tc>
          <w:tcPr>
            <w:tcW w:type="dxa" w:w="794"/>
            <w:vAlign w:val="center"/>
          </w:tcPr>
          <w:p>
            <w:pPr>
              <w:spacing w:after="0"/>
              <w:jc w:val="center"/>
            </w:pPr>
            <w:r>
              <w:rPr>
                <w:rFonts w:ascii="游ゴシック" w:hAnsi="游ゴシック" w:eastAsia="游ゴシック"/>
                <w:b w:val="0"/>
                <w:sz w:val="16"/>
              </w:rPr>
              <w:t>No.20</w:t>
            </w:r>
          </w:p>
        </w:tc>
        <w:tc>
          <w:tcPr>
            <w:tcW w:type="dxa" w:w="2608"/>
            <w:vAlign w:val="center"/>
          </w:tcPr>
          <w:p>
            <w:pPr>
              <w:spacing w:after="0"/>
            </w:pPr>
            <w:r>
              <w:rPr>
                <w:rFonts w:ascii="游ゴシック" w:hAnsi="游ゴシック" w:eastAsia="游ゴシック"/>
                <w:b w:val="0"/>
                <w:sz w:val="16"/>
              </w:rPr>
              <w:t>北海道・圏域との調整の場</w:t>
            </w:r>
          </w:p>
        </w:tc>
        <w:tc>
          <w:tcPr>
            <w:tcW w:type="dxa" w:w="4649"/>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vAlign w:val="center"/>
          </w:tcPr>
          <w:p>
            <w:pPr>
              <w:spacing w:after="0"/>
            </w:pPr>
            <w:r>
              <w:rPr>
                <w:rFonts w:ascii="游ゴシック" w:hAnsi="游ゴシック" w:eastAsia="游ゴシック"/>
                <w:b w:val="0"/>
                <w:sz w:val="16"/>
              </w:rPr>
              <w:t>第1章第8節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No.21</w:t>
            </w:r>
          </w:p>
        </w:tc>
        <w:tc>
          <w:tcPr>
            <w:tcW w:type="dxa" w:w="2608"/>
            <w:shd w:val="clear" w:color="auto" w:fill="F2F5FA"/>
            <w:vAlign w:val="center"/>
          </w:tcPr>
          <w:p>
            <w:pPr>
              <w:spacing w:after="0"/>
            </w:pPr>
            <w:r>
              <w:rPr>
                <w:rFonts w:ascii="游ゴシック" w:hAnsi="游ゴシック" w:eastAsia="游ゴシック"/>
                <w:b w:val="0"/>
                <w:sz w:val="16"/>
              </w:rPr>
              <w:t>成果品の仕様</w:t>
            </w:r>
          </w:p>
        </w:tc>
        <w:tc>
          <w:tcPr>
            <w:tcW w:type="dxa" w:w="4649"/>
            <w:shd w:val="clear" w:color="auto" w:fill="F2F5FA"/>
            <w:vAlign w:val="center"/>
          </w:tcPr>
          <w:p>
            <w:pPr>
              <w:spacing w:after="0"/>
            </w:pPr>
            <w:r>
              <w:rPr>
                <w:rFonts w:ascii="游ゴシック" w:hAnsi="游ゴシック" w:eastAsia="游ゴシック"/>
                <w:b w:val="0"/>
                <w:sz w:val="16"/>
              </w:rPr>
              <w:t>成果品の仕様は仕様書の定めによる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No.23</w:t>
            </w:r>
          </w:p>
        </w:tc>
        <w:tc>
          <w:tcPr>
            <w:tcW w:type="dxa" w:w="2608"/>
            <w:vAlign w:val="center"/>
          </w:tcPr>
          <w:p>
            <w:pPr>
              <w:spacing w:after="0"/>
            </w:pPr>
            <w:r>
              <w:rPr>
                <w:rFonts w:ascii="游ゴシック" w:hAnsi="游ゴシック" w:eastAsia="游ゴシック"/>
                <w:b w:val="0"/>
                <w:sz w:val="16"/>
              </w:rPr>
              <w:t>事業所の定員・稼働率データ</w:t>
            </w:r>
          </w:p>
        </w:tc>
        <w:tc>
          <w:tcPr>
            <w:tcW w:type="dxa" w:w="4649"/>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vAlign w:val="center"/>
          </w:tcPr>
          <w:p>
            <w:pPr>
              <w:spacing w:after="0"/>
            </w:pPr>
            <w:r>
              <w:rPr>
                <w:rFonts w:ascii="游ゴシック" w:hAnsi="游ゴシック" w:eastAsia="游ゴシック"/>
                <w:b w:val="0"/>
                <w:sz w:val="16"/>
              </w:rPr>
              <w:t>第2章第3節6</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No.26</w:t>
            </w:r>
          </w:p>
        </w:tc>
        <w:tc>
          <w:tcPr>
            <w:tcW w:type="dxa" w:w="2608"/>
            <w:shd w:val="clear" w:color="auto" w:fill="F2F5FA"/>
            <w:vAlign w:val="center"/>
          </w:tcPr>
          <w:p>
            <w:pPr>
              <w:spacing w:after="0"/>
            </w:pPr>
            <w:r>
              <w:rPr>
                <w:rFonts w:ascii="游ゴシック" w:hAnsi="游ゴシック" w:eastAsia="游ゴシック"/>
                <w:b w:val="0"/>
                <w:sz w:val="16"/>
              </w:rPr>
              <w:t>認知症・医療介護連携の実績データ</w:t>
            </w:r>
          </w:p>
        </w:tc>
        <w:tc>
          <w:tcPr>
            <w:tcW w:type="dxa" w:w="4649"/>
            <w:shd w:val="clear" w:color="auto" w:fill="F2F5FA"/>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shd w:val="clear" w:color="auto" w:fill="F2F5FA"/>
            <w:vAlign w:val="center"/>
          </w:tcPr>
          <w:p>
            <w:pPr>
              <w:spacing w:after="0"/>
            </w:pPr>
            <w:r>
              <w:rPr>
                <w:rFonts w:ascii="游ゴシック" w:hAnsi="游ゴシック" w:eastAsia="游ゴシック"/>
                <w:b w:val="0"/>
                <w:sz w:val="16"/>
              </w:rPr>
              <w:t>第5章 基本目標2・基本目標3</w:t>
            </w:r>
          </w:p>
        </w:tc>
      </w:tr>
      <w:tr>
        <w:trPr>
          <w:cantSplit/>
        </w:trPr>
        <w:tc>
          <w:tcPr>
            <w:tcW w:type="dxa" w:w="794"/>
            <w:vAlign w:val="center"/>
          </w:tcPr>
          <w:p>
            <w:pPr>
              <w:spacing w:after="0"/>
              <w:jc w:val="center"/>
            </w:pPr>
            <w:r>
              <w:rPr>
                <w:rFonts w:ascii="游ゴシック" w:hAnsi="游ゴシック" w:eastAsia="游ゴシック"/>
                <w:b w:val="0"/>
                <w:sz w:val="16"/>
              </w:rPr>
              <w:t>No.29</w:t>
            </w:r>
          </w:p>
        </w:tc>
        <w:tc>
          <w:tcPr>
            <w:tcW w:type="dxa" w:w="2608"/>
            <w:vAlign w:val="center"/>
          </w:tcPr>
          <w:p>
            <w:pPr>
              <w:spacing w:after="0"/>
            </w:pPr>
            <w:r>
              <w:rPr>
                <w:rFonts w:ascii="游ゴシック" w:hAnsi="游ゴシック" w:eastAsia="游ゴシック"/>
                <w:b w:val="0"/>
                <w:sz w:val="16"/>
              </w:rPr>
              <w:t>重度化の速度の前提</w:t>
            </w:r>
          </w:p>
        </w:tc>
        <w:tc>
          <w:tcPr>
            <w:tcW w:type="dxa" w:w="4649"/>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No.31</w:t>
            </w:r>
          </w:p>
        </w:tc>
        <w:tc>
          <w:tcPr>
            <w:tcW w:type="dxa" w:w="2608"/>
            <w:shd w:val="clear" w:color="auto" w:fill="F2F5FA"/>
            <w:vAlign w:val="center"/>
          </w:tcPr>
          <w:p>
            <w:pPr>
              <w:spacing w:after="0"/>
            </w:pPr>
            <w:r>
              <w:rPr>
                <w:rFonts w:ascii="游ゴシック" w:hAnsi="游ゴシック" w:eastAsia="游ゴシック"/>
                <w:b w:val="0"/>
                <w:sz w:val="16"/>
              </w:rPr>
              <w:t>給付適正化の実施予定と推計での扱い</w:t>
            </w:r>
          </w:p>
        </w:tc>
        <w:tc>
          <w:tcPr>
            <w:tcW w:type="dxa" w:w="4649"/>
            <w:shd w:val="clear" w:color="auto" w:fill="F2F5FA"/>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No.74</w:t>
            </w:r>
          </w:p>
        </w:tc>
        <w:tc>
          <w:tcPr>
            <w:tcW w:type="dxa" w:w="2608"/>
            <w:vAlign w:val="center"/>
          </w:tcPr>
          <w:p>
            <w:pPr>
              <w:spacing w:after="0"/>
            </w:pPr>
            <w:r>
              <w:rPr>
                <w:rFonts w:ascii="游ゴシック" w:hAnsi="游ゴシック" w:eastAsia="游ゴシック"/>
                <w:b w:val="0"/>
                <w:sz w:val="16"/>
              </w:rPr>
              <w:t>有料老人ホーム等の家賃等の情報収集（北海道）</w:t>
            </w:r>
          </w:p>
        </w:tc>
        <w:tc>
          <w:tcPr>
            <w:tcW w:type="dxa" w:w="4649"/>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vAlign w:val="center"/>
          </w:tcPr>
          <w:p>
            <w:pPr>
              <w:spacing w:after="0"/>
            </w:pPr>
            <w:r>
              <w:rPr>
                <w:rFonts w:ascii="游ゴシック" w:hAnsi="游ゴシック" w:eastAsia="游ゴシック"/>
                <w:b w:val="0"/>
                <w:sz w:val="16"/>
              </w:rPr>
              <w:t>第2章第3節6</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No.144</w:t>
            </w:r>
          </w:p>
        </w:tc>
        <w:tc>
          <w:tcPr>
            <w:tcW w:type="dxa" w:w="2608"/>
            <w:shd w:val="clear" w:color="auto" w:fill="F2F5FA"/>
            <w:vAlign w:val="center"/>
          </w:tcPr>
          <w:p>
            <w:pPr>
              <w:spacing w:after="0"/>
            </w:pPr>
            <w:r>
              <w:rPr>
                <w:rFonts w:ascii="游ゴシック" w:hAnsi="游ゴシック" w:eastAsia="游ゴシック"/>
                <w:b w:val="0"/>
                <w:sz w:val="16"/>
              </w:rPr>
              <w:t>統合した成果品の元の資料を残すか</w:t>
            </w:r>
          </w:p>
        </w:tc>
        <w:tc>
          <w:tcPr>
            <w:tcW w:type="dxa" w:w="4649"/>
            <w:shd w:val="clear" w:color="auto" w:fill="F2F5FA"/>
            <w:vAlign w:val="center"/>
          </w:tcPr>
          <w:p>
            <w:pPr>
              <w:spacing w:after="0"/>
            </w:pPr>
            <w:r>
              <w:rPr>
                <w:rFonts w:ascii="游ゴシック" w:hAnsi="游ゴシック" w:eastAsia="游ゴシック"/>
                <w:b w:val="0"/>
                <w:sz w:val="16"/>
              </w:rPr>
              <w:t>統合した成果品の元の資料を残す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No.156</w:t>
            </w:r>
          </w:p>
        </w:tc>
        <w:tc>
          <w:tcPr>
            <w:tcW w:type="dxa" w:w="2608"/>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No.169</w:t>
            </w:r>
          </w:p>
        </w:tc>
        <w:tc>
          <w:tcPr>
            <w:tcW w:type="dxa" w:w="2608"/>
            <w:shd w:val="clear" w:color="auto" w:fill="F2F5FA"/>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shd w:val="clear" w:color="auto" w:fill="F2F5FA"/>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No.171</w:t>
            </w:r>
          </w:p>
        </w:tc>
        <w:tc>
          <w:tcPr>
            <w:tcW w:type="dxa" w:w="2608"/>
            <w:vAlign w:val="center"/>
          </w:tcPr>
          <w:p>
            <w:pPr>
              <w:spacing w:after="0"/>
            </w:pPr>
            <w:r>
              <w:rPr>
                <w:rFonts w:ascii="游ゴシック" w:hAnsi="游ゴシック" w:eastAsia="游ゴシック"/>
                <w:b w:val="0"/>
                <w:sz w:val="16"/>
              </w:rPr>
              <w:t>第9期計画にない体裁の取扱い（小見出し【　】ほか）</w:t>
            </w:r>
          </w:p>
        </w:tc>
        <w:tc>
          <w:tcPr>
            <w:tcW w:type="dxa" w:w="4649"/>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No.173</w:t>
            </w:r>
          </w:p>
        </w:tc>
        <w:tc>
          <w:tcPr>
            <w:tcW w:type="dxa" w:w="2608"/>
            <w:shd w:val="clear" w:color="auto" w:fill="F2F5FA"/>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shd w:val="clear" w:color="auto" w:fill="F2F5FA"/>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No.24</w:t>
            </w:r>
          </w:p>
        </w:tc>
        <w:tc>
          <w:tcPr>
            <w:tcW w:type="dxa" w:w="2608"/>
            <w:vAlign w:val="center"/>
          </w:tcPr>
          <w:p>
            <w:pPr>
              <w:spacing w:after="0"/>
            </w:pPr>
            <w:r>
              <w:rPr>
                <w:rFonts w:ascii="游ゴシック" w:hAnsi="游ゴシック" w:eastAsia="游ゴシック"/>
                <w:b w:val="0"/>
                <w:sz w:val="16"/>
              </w:rPr>
              <w:t>24時間対応サービスの確保方策の決定</w:t>
            </w:r>
          </w:p>
        </w:tc>
        <w:tc>
          <w:tcPr>
            <w:tcW w:type="dxa" w:w="4649"/>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No.25</w:t>
            </w:r>
          </w:p>
        </w:tc>
        <w:tc>
          <w:tcPr>
            <w:tcW w:type="dxa" w:w="2608"/>
            <w:shd w:val="clear" w:color="auto" w:fill="F2F5FA"/>
            <w:vAlign w:val="center"/>
          </w:tcPr>
          <w:p>
            <w:pPr>
              <w:spacing w:after="0"/>
            </w:pPr>
            <w:r>
              <w:rPr>
                <w:rFonts w:ascii="游ゴシック" w:hAnsi="游ゴシック" w:eastAsia="游ゴシック"/>
                <w:b w:val="0"/>
                <w:sz w:val="16"/>
              </w:rPr>
              <w:t>代表KPIの目標値の決定</w:t>
            </w:r>
          </w:p>
        </w:tc>
        <w:tc>
          <w:tcPr>
            <w:tcW w:type="dxa" w:w="4649"/>
            <w:shd w:val="clear" w:color="auto" w:fill="F2F5FA"/>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w:t>
            </w:r>
          </w:p>
        </w:tc>
      </w:tr>
      <w:tr>
        <w:trPr>
          <w:cantSplit/>
        </w:trPr>
        <w:tc>
          <w:tcPr>
            <w:tcW w:type="dxa" w:w="794"/>
            <w:vAlign w:val="center"/>
          </w:tcPr>
          <w:p>
            <w:pPr>
              <w:spacing w:after="0"/>
              <w:jc w:val="center"/>
            </w:pPr>
            <w:r>
              <w:rPr>
                <w:rFonts w:ascii="游ゴシック" w:hAnsi="游ゴシック" w:eastAsia="游ゴシック"/>
                <w:b w:val="0"/>
                <w:sz w:val="16"/>
              </w:rPr>
              <w:t>No.175</w:t>
            </w:r>
          </w:p>
        </w:tc>
        <w:tc>
          <w:tcPr>
            <w:tcW w:type="dxa" w:w="2608"/>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No.176</w:t>
            </w:r>
          </w:p>
        </w:tc>
        <w:tc>
          <w:tcPr>
            <w:tcW w:type="dxa" w:w="2608"/>
            <w:shd w:val="clear" w:color="auto" w:fill="F2F5FA"/>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shd w:val="clear" w:color="auto" w:fill="F2F5FA"/>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基本目標4</w:t>
            </w:r>
          </w:p>
        </w:tc>
      </w:tr>
      <w:tr>
        <w:trPr>
          <w:cantSplit/>
        </w:trPr>
        <w:tc>
          <w:tcPr>
            <w:tcW w:type="dxa" w:w="794"/>
            <w:vAlign w:val="center"/>
          </w:tcPr>
          <w:p>
            <w:pPr>
              <w:spacing w:after="0"/>
              <w:jc w:val="center"/>
            </w:pPr>
            <w:r>
              <w:rPr>
                <w:rFonts w:ascii="游ゴシック" w:hAnsi="游ゴシック" w:eastAsia="游ゴシック"/>
                <w:b w:val="0"/>
                <w:sz w:val="16"/>
              </w:rPr>
              <w:t>No.177</w:t>
            </w:r>
          </w:p>
        </w:tc>
        <w:tc>
          <w:tcPr>
            <w:tcW w:type="dxa" w:w="2608"/>
            <w:vAlign w:val="center"/>
          </w:tcPr>
          <w:p>
            <w:pPr>
              <w:spacing w:after="0"/>
            </w:pPr>
            <w:r>
              <w:rPr>
                <w:rFonts w:ascii="游ゴシック" w:hAnsi="游ゴシック" w:eastAsia="游ゴシック"/>
                <w:b w:val="0"/>
                <w:sz w:val="16"/>
              </w:rPr>
              <w:t>都道府県との協定に基づく連携への関与</w:t>
            </w:r>
          </w:p>
        </w:tc>
        <w:tc>
          <w:tcPr>
            <w:tcW w:type="dxa" w:w="4649"/>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vAlign w:val="center"/>
          </w:tcPr>
          <w:p>
            <w:pPr>
              <w:spacing w:after="0"/>
            </w:pPr>
            <w:r>
              <w:rPr>
                <w:rFonts w:ascii="游ゴシック" w:hAnsi="游ゴシック" w:eastAsia="游ゴシック"/>
                <w:b w:val="0"/>
                <w:sz w:val="16"/>
              </w:rPr>
              <w:t>第1章第9節5・第5章 基本目標3・基本目標4</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