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Ver.1.18</w:t>
      </w:r>
    </w:p>
    <w:p>
      <w:pPr>
        <w:spacing w:after="80" w:before="80"/>
        <w:jc w:val="center"/>
      </w:pPr>
      <w:r>
        <w:rPr>
          <w:rFonts w:ascii="游ゴシック" w:cs="游ゴシック" w:eastAsia="游ゴシック" w:hAnsi="游ゴシック"/>
          <w:b w:val="false"/>
          <w:bCs w:val="false"/>
          <w:i/>
          <w:iCs/>
          <w:sz w:val="18"/>
          <w:szCs w:val="18"/>
        </w:rPr>
        <w:t xml:space="preserve">（認知症施策推進計画 是正版）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bl>
    <w:p>
      <w:pPr>
        <w:spacing w:after="80" w:before="80" w:line="280"/>
        <w:ind w:left="288"/>
      </w:pPr>
      <w:r>
        <w:rPr>
          <w:rFonts w:ascii="游ゴシック" w:cs="游ゴシック" w:eastAsia="游ゴシック" w:hAnsi="游ゴシック"/>
          <w:i/>
          <w:iCs/>
          <w:sz w:val="19"/>
          <w:szCs w:val="19"/>
        </w:rPr>
        <w:t xml:space="preserve">⚠ 頁番号は、本素案Ver.1.17の組版によるものです。図表の差替え・加筆により頁の割付けが動いた場合は、目次の頁番号も併せて更新します。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1.18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第6章（認知症施策推進計画）について共生社会の実現を推進するための認知症基本法の条番号を是正し、基本的施策を第14条から第21条までの8項目に改めました。あわせて第9章に必要利用定員総数の表を新設しました。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一般高齢者ニーズ調査（対象：65歳以上の高齢者1,000名）</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要支援・要介護認定者調査（対象：認定者300名）</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対象・配布</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有効回答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生きがいがある55.3％（n=519）。両者には強い関連（p＜0.001）</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n=76。介護者の高齢化が進んでいる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在宅の要介護者では、施設入所の申込みを最も強く分けているのは要介護度ではなく家族介護者の有無である。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4-2　基本目標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第10期計画の基本目標</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考え方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介護予防を明示して継承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center"/>
            </w:pPr>
            <w:r>
              <w:rPr>
                <w:rFonts w:ascii="游ゴシック" w:cs="游ゴシック" w:eastAsia="游ゴシック" w:hAnsi="游ゴシック"/>
                <w:i w:val="false"/>
                <w:iCs w:val="false"/>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left"/>
            </w:pPr>
            <w:r>
              <w:rPr>
                <w:rFonts w:ascii="游ゴシック" w:cs="游ゴシック" w:eastAsia="游ゴシック" w:hAnsi="游ゴシック"/>
                <w:i w:val="false"/>
                <w:iCs w:val="false"/>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見守り・移動支援・住まいを含めて継承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在宅生活の継続という観点で再構成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i w:val="false"/>
                <w:iCs w:val="false"/>
                <w:sz w:val="18"/>
                <w:szCs w:val="18"/>
              </w:rPr>
              <w:t xml:space="preserve">目的別に配置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r>
          </w:p>
          <w:p>
            <w:pPr>
              <w:spacing w:after="40" w:before="40" w:line="260"/>
              <w:jc w:val="center"/>
            </w:pPr>
            <w:r>
              <w:rPr>
                <w:rFonts w:ascii="游ゴシック" w:cs="游ゴシック" w:eastAsia="游ゴシック" w:hAnsi="游ゴシック"/>
                <w:i w:val="false"/>
                <w:iCs w:val="false"/>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r>
          </w:p>
          <w:p>
            <w:pPr>
              <w:spacing w:after="40" w:before="40" w:line="260"/>
              <w:jc w:val="left"/>
            </w:pPr>
            <w:r>
              <w:rPr>
                <w:rFonts w:ascii="游ゴシック" w:cs="游ゴシック" w:eastAsia="游ゴシック" w:hAnsi="游ゴシック"/>
                <w:i w:val="false"/>
                <w:iCs w:val="false"/>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供給体制・人材確保を加えて再構成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r>
          </w:p>
          <w:p>
            <w:pPr>
              <w:spacing w:after="40" w:before="40" w:line="260"/>
              <w:jc w:val="center"/>
            </w:pPr>
            <w:r>
              <w:rPr>
                <w:rFonts w:ascii="游ゴシック" w:cs="游ゴシック" w:eastAsia="游ゴシック" w:hAnsi="游ゴシック"/>
                <w:i w:val="false"/>
                <w:iCs w:val="false"/>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地域包括ケアの深化を独立させた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（基本方針3に含まれていた</w:t>
            </w:r>
          </w:p>
          <w:p>
            <w:pPr>
              <w:spacing w:after="40" w:before="40" w:line="260"/>
              <w:jc w:val="center"/>
            </w:pPr>
            <w:r>
              <w:rPr>
                <w:rFonts w:ascii="游ゴシック" w:cs="游ゴシック" w:eastAsia="游ゴシック" w:hAnsi="游ゴシック"/>
                <w:i w:val="false"/>
                <w:iCs w:val="false"/>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基本目標</w:t>
            </w:r>
          </w:p>
        </w:tc>
        <w:tc>
          <w:tcPr>
            <w:tcW w:type="pct"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健康寿命の延伸・フレイル予防・通いの場の充実・口腔と栄養の支援を推進し、高齢者がいつまでも元気に生活できる地域づくりを進めます。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見守り・地域支え合い・移動支援・住まいの確保等、独居高齢者・高齢者世帯・老老介護世帯が安心して暮らせる仕組みを整えます。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在宅医療・介護連携、家族介護者支援、緊急時対応、住宅改修等により、住み慣れた自宅・地域での生活継続を支援します。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介護サービスの質の確保、町外施設利用も含めた供給体制の整備、介護人材の確保・育成を推進します。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地域包括支援センターを中心に、医療・介護・予防・住まい・生活支援を一体的に提供する地域包括ケアシステムをさらに深化させます。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対応する基本目標・関連施策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基本目標6を新設し、独立章（第6章）として位置付け。本人意見反映・チームオレンジ整備・認知症カフェ充実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基本目標2。タクシー助成終了後の社協・NPO移送＋デマンドバスの周知強化、施設偏在への対応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基本目標3・5。8050問題・老老介護への対応、介護者レスパイト、包括センター体制強化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基本目標4。みやぎ県南中核病院等との広域医療連携、住所地特例を含めた施設供給見込量</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i w:val="false"/>
                <w:iCs w:val="false"/>
                <w:sz w:val="24"/>
                <w:szCs w:val="24"/>
              </w:rPr>
              <w:t xml:space="preserve">↓</w:t>
            </w:r>
          </w:p>
        </w:tc>
      </w:tr>
      <w:tr>
        <w:tc>
          <w:tcPr/>
          <w:p>
            <w:pPr>
              <w:spacing w:after="80" w:before="80"/>
              <w:jc w:val="center"/>
            </w:pPr>
            <w:r>
              <w:rPr>
                <w:rFonts w:ascii="游ゴシック" w:cs="游ゴシック" w:eastAsia="游ゴシック" w:hAnsi="游ゴシック"/>
                <w:i w:val="false"/>
                <w:iCs w:val="false"/>
                <w:sz w:val="22"/>
                <w:szCs w:val="22"/>
              </w:rPr>
              <w:t xml:space="preserve">【6つの基本目標】</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で、家族・親族からの介護がない層が45.8％（n=142）あり、この層の56.9％が既に施設入所を申し込んでいます（介護が「ある」層は13.5％）。さらに、家族介護もサービス利用もない世帯が50件・36.2％（n=138）あり、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施設入所の申込みを最も強く分けているのは、要介護度ではなく家族介護者の有無である。家族介護者への支援は、施設サービスの見込量に直接影響する施策である。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令和6年12月3日閣議決定）及び都道府県計画を基本とするとともに、市町村の実情に即したものとすることとされています。宮城県の認知症施策推進計画の策定状況は確認中です［要確認］。川崎町では、第10期計画期間（令和9〜11年度）に向けて、認知症施策を独立章として位置付けることで、認知症基本法の理念・基本的施策に対応した包括的な計画体系を構築します。</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本人意見の反映（基本法第3条・第13条第3項）：認知症の人及びその家族等の意見を、地域包括支援センター及び国保川崎病院を経由して聴取し、計画・施策に反映します。意見聴取は計画の策定手続として法に定められたものであり、計画書案の作成前に実施します。</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なお、同法第3章（基本的施策）は第14条から第25条までの12条で構成されており、第22条以降（調査の実施・多様な主体の連携・地方公共団体に対する支援・国際協力）は国及び都道府県の施策を中心とするため、本表には掲げ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認知症サポーター養成講座の継続（累計642名・令和7年度見込）。企業・学校サポーター養成の拡大。世界アルツハイマー月間の普及啓発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公共施設・交通・買い物環境におけるバリアフリー化、認知症の人にやさしい地域づくり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認知症初期集中支援チームの活動量の回復と強化。認知症地域支援推進員の配置（令和5年度以降0人。配置状況を確認中［要確認］）。国保川崎病院との連携強化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認知症の人及び家族の意見聴取（基本法第13条第3項対応）、認知症施策への当事者参画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介護予防・日常生活支援総合事業における通いの場の充実、フレイル予防との一体的な取組。予防を「認知症にならない」ではなく「なるのを遅らせる・進行を緩やかにする」ものとして位置付ける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については、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累計642名のサポーターを基盤に、企業・学校サポーターを増やし、活動の質を向上。キャラバンメイト（累計80名）の活動の場を確保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642名（令和7年度見込）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