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7"/>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8"/>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令和6年度から選択制が導入された品目の影響を確認します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39"/>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資料：同上。「全国該当率」は当該項目に得点のある市町村の割合（令和8年度・集計対象1,746市町村）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721"/>
          </w:tcPr>
          <w:p>
            <w:r/>
            <w:r>
              <w:rPr>
                <w:rFonts w:ascii="游ゴシック" w:hAnsi="游ゴシック" w:eastAsia="游ゴシック"/>
                <w:b/>
                <w:sz w:val="17"/>
              </w:rPr>
              <w:t>区分（決算科目）</w:t>
            </w:r>
          </w:p>
        </w:tc>
        <w:tc>
          <w:tcPr>
            <w:tcW w:type="dxa" w:w="964"/>
          </w:tcPr>
          <w:p>
            <w:r/>
            <w:r>
              <w:rPr>
                <w:rFonts w:ascii="游ゴシック" w:hAnsi="游ゴシック" w:eastAsia="游ゴシック"/>
                <w:b/>
                <w:sz w:val="17"/>
              </w:rPr>
              <w:t>R5</w:t>
            </w:r>
          </w:p>
        </w:tc>
        <w:tc>
          <w:tcPr>
            <w:tcW w:type="dxa" w:w="964"/>
          </w:tcPr>
          <w:p>
            <w:r/>
            <w:r>
              <w:rPr>
                <w:rFonts w:ascii="游ゴシック" w:hAnsi="游ゴシック" w:eastAsia="游ゴシック"/>
                <w:b/>
                <w:sz w:val="17"/>
              </w:rPr>
              <w:t>R6実績</w:t>
            </w:r>
          </w:p>
        </w:tc>
        <w:tc>
          <w:tcPr>
            <w:tcW w:type="dxa" w:w="794"/>
          </w:tcPr>
          <w:p>
            <w:r/>
            <w:r>
              <w:rPr>
                <w:rFonts w:ascii="游ゴシック" w:hAnsi="游ゴシック" w:eastAsia="游ゴシック"/>
                <w:b/>
                <w:sz w:val="17"/>
              </w:rPr>
              <w:t>R9</w:t>
            </w:r>
          </w:p>
        </w:tc>
        <w:tc>
          <w:tcPr>
            <w:tcW w:type="dxa" w:w="794"/>
          </w:tcPr>
          <w:p>
            <w:r/>
            <w:r>
              <w:rPr>
                <w:rFonts w:ascii="游ゴシック" w:hAnsi="游ゴシック" w:eastAsia="游ゴシック"/>
                <w:b/>
                <w:sz w:val="17"/>
              </w:rPr>
              <w:t>R10</w:t>
            </w:r>
          </w:p>
        </w:tc>
        <w:tc>
          <w:tcPr>
            <w:tcW w:type="dxa" w:w="79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第10期計</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介護予防・生活支援サービス事業費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101.3</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包括的支援事業・任意事業費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75.9［要内訳］</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保険者機能強化推進事業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2.0</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保険者努力支援事業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4.2</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地域支援事業費合計</w:t>
            </w:r>
          </w:p>
        </w:tc>
        <w:tc>
          <w:tcPr>
            <w:tcW w:type="dxa" w:w="964"/>
          </w:tcPr>
          <w:p>
            <w:r/>
            <w:r>
              <w:rPr>
                <w:rFonts w:ascii="游ゴシック" w:hAnsi="游ゴシック" w:eastAsia="游ゴシック"/>
                <w:sz w:val="17"/>
              </w:rPr>
              <w:t>177.5</w:t>
            </w:r>
          </w:p>
        </w:tc>
        <w:tc>
          <w:tcPr>
            <w:tcW w:type="dxa" w:w="964"/>
          </w:tcPr>
          <w:p>
            <w:r/>
            <w:r>
              <w:rPr>
                <w:rFonts w:ascii="游ゴシック" w:hAnsi="游ゴシック" w:eastAsia="游ゴシック"/>
                <w:sz w:val="17"/>
              </w:rPr>
              <w:t>183.4</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単位：百万円。令和6年度は決算額です。決算の科目は上記の4区分であり、包括的支援事業の6事業別及び任意事業別の内訳、並びに社会保障充実分の別は決算書からは分かりません。事業別の実績の受領後に内訳を加えます。</w:t>
      </w:r>
    </w:p>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自然体給付費合計（見える化）</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人口の基礎の置換え後</w:t>
            </w:r>
          </w:p>
        </w:tc>
        <w:tc>
          <w:tcPr>
            <w:tcW w:type="dxa" w:w="1054"/>
          </w:tcPr>
          <w:p>
            <w:r/>
            <w:r>
              <w:rPr>
                <w:rFonts w:ascii="游ゴシック" w:hAnsi="游ゴシック" w:eastAsia="游ゴシック"/>
                <w:sz w:val="17"/>
              </w:rPr>
              <w:t>9,483.5</w:t>
            </w:r>
          </w:p>
        </w:tc>
        <w:tc>
          <w:tcPr>
            <w:tcW w:type="dxa" w:w="1001"/>
          </w:tcPr>
          <w:p>
            <w:r/>
            <w:r>
              <w:rPr>
                <w:rFonts w:ascii="游ゴシック" w:hAnsi="游ゴシック" w:eastAsia="游ゴシック"/>
                <w:sz w:val="17"/>
              </w:rPr>
              <w:t>3,103.2</w:t>
            </w:r>
          </w:p>
        </w:tc>
        <w:tc>
          <w:tcPr>
            <w:tcW w:type="dxa" w:w="1001"/>
          </w:tcPr>
          <w:p>
            <w:r/>
            <w:r>
              <w:rPr>
                <w:rFonts w:ascii="游ゴシック" w:hAnsi="游ゴシック" w:eastAsia="游ゴシック"/>
                <w:sz w:val="17"/>
              </w:rPr>
              <w:t>3,161.7</w:t>
            </w:r>
          </w:p>
        </w:tc>
        <w:tc>
          <w:tcPr>
            <w:tcW w:type="dxa" w:w="1001"/>
          </w:tcPr>
          <w:p>
            <w:r/>
            <w:r>
              <w:rPr>
                <w:rFonts w:ascii="游ゴシック" w:hAnsi="游ゴシック" w:eastAsia="游ゴシック"/>
                <w:sz w:val="17"/>
              </w:rPr>
              <w:t>3,218.6</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認定者数の比（1.0152・1.0231・1.0314）による</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10,043.9</w:t>
            </w:r>
          </w:p>
        </w:tc>
        <w:tc>
          <w:tcPr>
            <w:tcW w:type="dxa" w:w="1001"/>
          </w:tcPr>
          <w:p>
            <w:r/>
            <w:r>
              <w:rPr>
                <w:rFonts w:ascii="游ゴシック" w:hAnsi="游ゴシック" w:eastAsia="游ゴシック"/>
                <w:sz w:val="17"/>
              </w:rPr>
              <w:t>3,286.6</w:t>
            </w:r>
          </w:p>
        </w:tc>
        <w:tc>
          <w:tcPr>
            <w:tcW w:type="dxa" w:w="1001"/>
          </w:tcPr>
          <w:p>
            <w:r/>
            <w:r>
              <w:rPr>
                <w:rFonts w:ascii="游ゴシック" w:hAnsi="游ゴシック" w:eastAsia="游ゴシック"/>
                <w:sz w:val="17"/>
              </w:rPr>
              <w:t>3,348.5</w:t>
            </w:r>
          </w:p>
        </w:tc>
        <w:tc>
          <w:tcPr>
            <w:tcW w:type="dxa" w:w="1001"/>
          </w:tcPr>
          <w:p>
            <w:r/>
            <w:r>
              <w:rPr>
                <w:rFonts w:ascii="游ゴシック" w:hAnsi="游ゴシック" w:eastAsia="游ゴシック"/>
                <w:sz w:val="17"/>
              </w:rPr>
              <w:t>3,408.8</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置換え後給付費×1.0591（令和6年度決算による割増率）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令和6年度決算額（交付金充当の2事業を除く）。事業別の積上げはこれから行う</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10,575.3</w:t>
            </w:r>
          </w:p>
        </w:tc>
        <w:tc>
          <w:tcPr>
            <w:tcW w:type="dxa" w:w="1001"/>
          </w:tcPr>
          <w:p>
            <w:r/>
            <w:r>
              <w:rPr>
                <w:rFonts w:ascii="游ゴシック" w:hAnsi="游ゴシック" w:eastAsia="游ゴシック"/>
                <w:sz w:val="17"/>
              </w:rPr>
              <w:t>3,463.8</w:t>
            </w:r>
          </w:p>
        </w:tc>
        <w:tc>
          <w:tcPr>
            <w:tcW w:type="dxa" w:w="1001"/>
          </w:tcPr>
          <w:p>
            <w:r/>
            <w:r>
              <w:rPr>
                <w:rFonts w:ascii="游ゴシック" w:hAnsi="游ゴシック" w:eastAsia="游ゴシック"/>
                <w:sz w:val="17"/>
              </w:rPr>
              <w:t>3,525.7</w:t>
            </w:r>
          </w:p>
        </w:tc>
        <w:tc>
          <w:tcPr>
            <w:tcW w:type="dxa" w:w="1001"/>
          </w:tcPr>
          <w:p>
            <w:r/>
            <w:r>
              <w:rPr>
                <w:rFonts w:ascii="游ゴシック" w:hAnsi="游ゴシック" w:eastAsia="游ゴシック"/>
                <w:sz w:val="17"/>
              </w:rPr>
              <w:t>3,586.0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pPr>
      <w:r>
        <w:rPr>
          <w:rFonts w:ascii="游ゴシック" w:hAnsi="游ゴシック" w:eastAsia="游ゴシック"/>
          <w:b w:val="0"/>
          <w:sz w:val="17"/>
        </w:rPr>
        <w:t>単位：百万円。見える化システムの自然体推計は社人研の推計人口を基礎としているため、第2章第1節の人口の基礎（総合戦略ベース）に合わせ、認定者数の比により置き直しています。サービスの構成比は変えていません。標準給付費見込額（A）は、置換え後の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報酬改定、供給制約、基盤整備及び政策効果は未反映です。算定の全体は「将来推計 第3段階（給付費と保険料）」によります。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10期の前提を入れた基本ケースは月額6,740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10,043,861,690</w:t>
            </w:r>
          </w:p>
        </w:tc>
        <w:tc>
          <w:tcPr>
            <w:tcW w:type="dxa" w:w="794"/>
          </w:tcPr>
          <w:p>
            <w:r/>
            <w:r>
              <w:rPr>
                <w:rFonts w:ascii="游ゴシック" w:hAnsi="游ゴシック" w:eastAsia="游ゴシック"/>
                <w:sz w:val="17"/>
              </w:rPr>
              <w:t>105.5％</w:t>
            </w:r>
          </w:p>
        </w:tc>
        <w:tc>
          <w:tcPr>
            <w:tcW w:type="dxa" w:w="2494"/>
          </w:tcPr>
          <w:p>
            <w:r/>
            <w:r>
              <w:rPr>
                <w:rFonts w:ascii="游ゴシック" w:hAnsi="游ゴシック" w:eastAsia="游ゴシック"/>
                <w:sz w:val="17"/>
              </w:rPr>
              <w:t>自然体給付費×割増率1.0591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10,575,345,467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2,432,329,457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518,262,482</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764,486,274</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（A＋総合事業費）×7.375％</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2,186,105,666</w:t>
            </w:r>
          </w:p>
        </w:tc>
        <w:tc>
          <w:tcPr>
            <w:tcW w:type="dxa" w:w="794"/>
          </w:tcPr>
          <w:p>
            <w:r/>
            <w:r>
              <w:rPr>
                <w:rFonts w:ascii="游ゴシック" w:hAnsi="游ゴシック" w:eastAsia="游ゴシック"/>
                <w:sz w:val="17"/>
              </w:rPr>
              <w:t>106.5％</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6,740円</w:t>
            </w:r>
          </w:p>
        </w:tc>
        <w:tc>
          <w:tcPr>
            <w:tcW w:type="dxa" w:w="794"/>
          </w:tcPr>
          <w:p>
            <w:r/>
            <w:r>
              <w:rPr>
                <w:rFonts w:ascii="游ゴシック" w:hAnsi="游ゴシック" w:eastAsia="游ゴシック"/>
                <w:sz w:val="17"/>
              </w:rPr>
              <w:t>104.9％</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3"/>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4"/>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340円高くなります。第9期からの差を要因に分けると、給付費の水準が＋339円、基金取崩しを行わないことが＋125円、被保険者数が＋45円で、所得段階別加入割合補正後の被保険者数の係数が実績どおりであることが▲153円、地域支援事業費が令和6年度の決算水準であることが▲44円です。</w:t>
      </w:r>
    </w:p>
    <w:p>
      <w:pPr>
        <w:spacing w:after="80"/>
      </w:pPr>
      <w:r>
        <w:rPr>
          <w:rFonts w:ascii="游ゴシック" w:hAnsi="游ゴシック" w:eastAsia="游ゴシック"/>
          <w:b w:val="0"/>
          <w:sz w:val="20"/>
        </w:rPr>
        <w:t>なお、給付費の水準には人口の基礎の変更（第2章第1節）が含まれます。見える化システムの自然体推計は社人研の推計人口を基礎とするため、認定者数の比により9,267百万円を9,484百万円に置き直してい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608"/>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608"/>
          </w:tcPr>
          <w:p>
            <w:r/>
            <w:r>
              <w:rPr>
                <w:rFonts w:ascii="游ゴシック" w:hAnsi="游ゴシック" w:eastAsia="游ゴシック"/>
                <w:sz w:val="17"/>
              </w:rPr>
              <w:t>給付費の水準</w:t>
            </w:r>
          </w:p>
        </w:tc>
        <w:tc>
          <w:tcPr>
            <w:tcW w:type="dxa" w:w="2268"/>
          </w:tcPr>
          <w:p>
            <w:r/>
            <w:r>
              <w:rPr>
                <w:rFonts w:ascii="游ゴシック" w:hAnsi="游ゴシック" w:eastAsia="游ゴシック"/>
                <w:sz w:val="17"/>
              </w:rPr>
              <w:t>自然体推計 9,484百万円</w:t>
            </w:r>
          </w:p>
        </w:tc>
        <w:tc>
          <w:tcPr>
            <w:tcW w:type="dxa" w:w="2608"/>
          </w:tcPr>
          <w:p>
            <w:r/>
            <w:r>
              <w:rPr>
                <w:rFonts w:ascii="游ゴシック" w:hAnsi="游ゴシック" w:eastAsia="游ゴシック"/>
                <w:sz w:val="17"/>
              </w:rPr>
              <w:t>第9期の実績年率×3年 8,599百万円</w:t>
            </w:r>
          </w:p>
        </w:tc>
        <w:tc>
          <w:tcPr>
            <w:tcW w:type="dxa" w:w="1134"/>
          </w:tcPr>
          <w:p>
            <w:r/>
            <w:r>
              <w:rPr>
                <w:rFonts w:ascii="游ゴシック" w:hAnsi="游ゴシック" w:eastAsia="游ゴシック"/>
                <w:sz w:val="17"/>
              </w:rPr>
              <w:t>6,144円</w:t>
            </w:r>
          </w:p>
        </w:tc>
        <w:tc>
          <w:tcPr>
            <w:tcW w:type="dxa" w:w="1134"/>
          </w:tcPr>
          <w:p>
            <w:r/>
            <w:r>
              <w:rPr>
                <w:rFonts w:ascii="游ゴシック" w:hAnsi="游ゴシック" w:eastAsia="游ゴシック"/>
                <w:sz w:val="17"/>
              </w:rPr>
              <w:t>▲596円</w:t>
            </w:r>
          </w:p>
        </w:tc>
      </w:tr>
      <w:tr>
        <w:tc>
          <w:tcPr>
            <w:tcW w:type="dxa" w:w="2608"/>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608"/>
          </w:tcPr>
          <w:p>
            <w:r/>
            <w:r>
              <w:rPr>
                <w:rFonts w:ascii="游ゴシック" w:hAnsi="游ゴシック" w:eastAsia="游ゴシック"/>
                <w:sz w:val="17"/>
              </w:rPr>
              <w:t>24％</w:t>
            </w:r>
          </w:p>
        </w:tc>
        <w:tc>
          <w:tcPr>
            <w:tcW w:type="dxa" w:w="1134"/>
          </w:tcPr>
          <w:p>
            <w:r/>
            <w:r>
              <w:rPr>
                <w:rFonts w:ascii="游ゴシック" w:hAnsi="游ゴシック" w:eastAsia="游ゴシック"/>
                <w:sz w:val="17"/>
              </w:rPr>
              <w:t>7,066円</w:t>
            </w:r>
          </w:p>
        </w:tc>
        <w:tc>
          <w:tcPr>
            <w:tcW w:type="dxa" w:w="1134"/>
          </w:tcPr>
          <w:p>
            <w:r/>
            <w:r>
              <w:rPr>
                <w:rFonts w:ascii="游ゴシック" w:hAnsi="游ゴシック" w:eastAsia="游ゴシック"/>
                <w:sz w:val="17"/>
              </w:rPr>
              <w:t>＋326円</w:t>
            </w:r>
          </w:p>
        </w:tc>
      </w:tr>
      <w:tr>
        <w:tc>
          <w:tcPr>
            <w:tcW w:type="dxa" w:w="2608"/>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7.375％（第9期計画と同水準）</w:t>
            </w:r>
          </w:p>
        </w:tc>
        <w:tc>
          <w:tcPr>
            <w:tcW w:type="dxa" w:w="2608"/>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7,023円</w:t>
            </w:r>
          </w:p>
        </w:tc>
        <w:tc>
          <w:tcPr>
            <w:tcW w:type="dxa" w:w="1134"/>
          </w:tcPr>
          <w:p>
            <w:r/>
            <w:r>
              <w:rPr>
                <w:rFonts w:ascii="游ゴシック" w:hAnsi="游ゴシック" w:eastAsia="游ゴシック"/>
                <w:sz w:val="17"/>
              </w:rPr>
              <w:t>＋283円</w:t>
            </w:r>
          </w:p>
        </w:tc>
      </w:tr>
      <w:tr>
        <w:tc>
          <w:tcPr>
            <w:tcW w:type="dxa" w:w="2608"/>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608"/>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6,577円</w:t>
            </w:r>
          </w:p>
        </w:tc>
        <w:tc>
          <w:tcPr>
            <w:tcW w:type="dxa" w:w="1134"/>
          </w:tcPr>
          <w:p>
            <w:r/>
            <w:r>
              <w:rPr>
                <w:rFonts w:ascii="游ゴシック" w:hAnsi="游ゴシック" w:eastAsia="游ゴシック"/>
                <w:sz w:val="17"/>
              </w:rPr>
              <w:t>▲163円</w:t>
            </w:r>
          </w:p>
        </w:tc>
      </w:tr>
      <w:tr>
        <w:tc>
          <w:tcPr>
            <w:tcW w:type="dxa" w:w="2608"/>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608"/>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6,681円</w:t>
            </w:r>
          </w:p>
        </w:tc>
        <w:tc>
          <w:tcPr>
            <w:tcW w:type="dxa" w:w="1134"/>
          </w:tcPr>
          <w:p>
            <w:r/>
            <w:r>
              <w:rPr>
                <w:rFonts w:ascii="游ゴシック" w:hAnsi="游ゴシック" w:eastAsia="游ゴシック"/>
                <w:sz w:val="17"/>
              </w:rPr>
              <w:t>▲59円</w:t>
            </w:r>
          </w:p>
        </w:tc>
      </w:tr>
      <w:tr>
        <w:tc>
          <w:tcPr>
            <w:tcW w:type="dxa" w:w="2608"/>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608"/>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6,026円</w:t>
            </w:r>
          </w:p>
        </w:tc>
        <w:tc>
          <w:tcPr>
            <w:tcW w:type="dxa" w:w="1134"/>
          </w:tcPr>
          <w:p>
            <w:r/>
            <w:r>
              <w:rPr>
                <w:rFonts w:ascii="游ゴシック" w:hAnsi="游ゴシック" w:eastAsia="游ゴシック"/>
                <w:sz w:val="17"/>
              </w:rPr>
              <w:t>▲714円</w:t>
            </w:r>
          </w:p>
        </w:tc>
      </w:tr>
    </w:tbl>
    <w:p>
      <w:pPr>
        <w:spacing w:after="160"/>
        <w:jc w:val="right"/>
      </w:pPr>
      <w:r>
        <w:rPr>
          <w:rFonts w:ascii="游ゴシック" w:hAnsi="游ゴシック" w:eastAsia="游ゴシック"/>
          <w:b w:val="0"/>
          <w:sz w:val="17"/>
        </w:rPr>
        <w:t>資料：将来推計 第3段階（給付費と保険料）06シート・07シート</w:t>
      </w:r>
    </w:p>
    <w:p>
      <w:pPr>
        <w:spacing w:after="80"/>
      </w:pPr>
      <w:r>
        <w:rPr>
          <w:rFonts w:ascii="游ゴシック" w:hAnsi="游ゴシック" w:eastAsia="游ゴシック"/>
          <w:b w:val="0"/>
          <w:sz w:val="20"/>
        </w:rPr>
        <w:t>最も大きいレバーは給付費の水準で、月額に596円の幅があります。見える化システムの自然体推計6,238円は、給付費を第9期の実績年率で置いた場合の値に近く、自然体給付費推計の伸びを織り込んでいない可能性があります。第10期の計画に用いる値は、見える化の出力をそのまま採るのではなく、内訳を組み立てたうえで決め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