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令和8年9月14日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**小野町も第9期の公表値から逆算でき、見込交付割合は5.963％であった**（第5章）。第10期のFとGは見える化の係数シートで確認する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小野町でも23％で置いている。**1ptで月額303円。**第1期17％から3年ごとに1ptずつ上がってきており、24％となる可能性がある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**（標準給付費＋総合事業費）×5.963％**</w:t>
            </w:r>
          </w:p>
        </w:tc>
        <w:tc>
          <w:tcPr>
            <w:tcW w:type="dxa" w:w="2160"/>
          </w:tcPr>
          <w:p>
            <w:r/>
            <w:r>
              <w:rPr>
                <w:sz w:val="18"/>
              </w:rPr>
              <w:t>第9期計画の公表値から逆算した小野町の実績値。後期高齢者加入割合が高く低所得層が厚い保険者は5％を上回る</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**令和7年度末の構成比を第10期3年分の第1号被保険者数10,285人に当てる（9,798人）**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**6,682円**</w:t>
            </w:r>
          </w:p>
        </w:tc>
        <w:tc>
          <w:tcPr>
            <w:tcW w:type="dxa" w:w="2160"/>
          </w:tcPr>
          <w:p>
            <w:r/>
            <w:r>
              <w:rPr>
                <w:sz w:val="18"/>
              </w:rPr>
              <w:t>差▲256円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⑦÷（①＋③）</w:t>
            </w:r>
          </w:p>
        </w:tc>
        <w:tc>
          <w:tcPr>
            <w:tcW w:type="dxa" w:w="2880"/>
          </w:tcPr>
          <w:p>
            <w:r/>
            <w:r>
              <w:rPr>
                <w:sz w:val="18"/>
              </w:rPr>
              <w:t>**5.963％**（標準は5.000％）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調整交付金5.963％・基金取崩なし</w:t>
            </w:r>
          </w:p>
        </w:tc>
        <w:tc>
          <w:tcPr>
            <w:tcW w:type="dxa" w:w="2880"/>
          </w:tcPr>
          <w:p>
            <w:r/>
            <w:r>
              <w:rPr>
                <w:sz w:val="18"/>
              </w:rPr>
              <w:t>**6,682円**</w:t>
            </w:r>
          </w:p>
        </w:tc>
        <w:tc>
          <w:tcPr>
            <w:tcW w:type="dxa" w:w="2880"/>
          </w:tcPr>
          <w:p>
            <w:r/>
            <w:r>
              <w:rPr>
                <w:sz w:val="18"/>
              </w:rPr>
              <w:t>+82円</w:t>
            </w:r>
          </w:p>
        </w:tc>
      </w:tr>
      <w:tr>
        <w:tc>
          <w:tcPr>
            <w:tcW w:type="dxa" w:w="2880"/>
          </w:tcPr>
          <w:p>
            <w:r/>
            <w:r>
              <w:rPr>
                <w:sz w:val="18"/>
              </w:rPr>
              <w:t>同上・準備基金12,000千円を全額取崩</w:t>
            </w:r>
          </w:p>
        </w:tc>
        <w:tc>
          <w:tcPr>
            <w:tcW w:type="dxa" w:w="2880"/>
          </w:tcPr>
          <w:p>
            <w:r/>
            <w:r>
              <w:rPr>
                <w:sz w:val="18"/>
              </w:rPr>
              <w:t>6,580円</w:t>
            </w:r>
          </w:p>
        </w:tc>
        <w:tc>
          <w:tcPr>
            <w:tcW w:type="dxa" w:w="2880"/>
          </w:tcPr>
          <w:p>
            <w:r/>
            <w:r>
              <w:rPr>
                <w:sz w:val="18"/>
              </w:rPr>
              <w:t>-20円</w:t>
            </w:r>
          </w:p>
        </w:tc>
      </w:tr>
      <w:tr>
        <w:tc>
          <w:tcPr>
            <w:tcW w:type="dxa" w:w="2880"/>
          </w:tcPr>
          <w:p>
            <w:r/>
            <w:r>
              <w:rPr>
                <w:sz w:val="18"/>
              </w:rPr>
              <w:t>同上・第9期と同じ35,000千円を取崩</w:t>
            </w:r>
          </w:p>
        </w:tc>
        <w:tc>
          <w:tcPr>
            <w:tcW w:type="dxa" w:w="2880"/>
          </w:tcPr>
          <w:p>
            <w:r/>
            <w:r>
              <w:rPr>
                <w:sz w:val="18"/>
              </w:rPr>
              <w:t>6,383円</w:t>
            </w:r>
          </w:p>
        </w:tc>
        <w:tc>
          <w:tcPr>
            <w:tcW w:type="dxa" w:w="2880"/>
          </w:tcPr>
          <w:p>
            <w:r/>
            <w:r>
              <w:rPr>
                <w:sz w:val="18"/>
              </w:rPr>
              <w:t>-217円</w:t>
            </w:r>
          </w:p>
        </w:tc>
      </w:tr>
      <w:tr>
        <w:tc>
          <w:tcPr>
            <w:tcW w:type="dxa" w:w="2880"/>
          </w:tcPr>
          <w:p>
            <w:r/>
            <w:r>
              <w:rPr>
                <w:sz w:val="18"/>
              </w:rPr>
              <w:t>調整交付金を標準の5.000％とした場合（取崩なし）</w:t>
            </w:r>
          </w:p>
        </w:tc>
        <w:tc>
          <w:tcPr>
            <w:tcW w:type="dxa" w:w="2880"/>
          </w:tcPr>
          <w:p>
            <w:r/>
            <w:r>
              <w:rPr>
                <w:sz w:val="18"/>
              </w:rPr>
              <w:t>6,966円</w:t>
            </w:r>
          </w:p>
        </w:tc>
        <w:tc>
          <w:tcPr>
            <w:tcW w:type="dxa" w:w="2880"/>
          </w:tcPr>
          <w:p>
            <w:r/>
            <w:r>
              <w:rPr>
                <w:sz w:val="18"/>
              </w:rPr>
              <w:t>+366円</w:t>
            </w:r>
          </w:p>
        </w:tc>
      </w:tr>
      <w:tr>
        <w:tc>
          <w:tcPr>
            <w:tcW w:type="dxa" w:w="2880"/>
          </w:tcPr>
          <w:p>
            <w:r/>
            <w:r>
              <w:rPr>
                <w:sz w:val="18"/>
              </w:rPr>
              <w:t>調整交付金が7.000％だった場合（取崩なし）</w:t>
            </w:r>
          </w:p>
        </w:tc>
        <w:tc>
          <w:tcPr>
            <w:tcW w:type="dxa" w:w="2880"/>
          </w:tcPr>
          <w:p>
            <w:r/>
            <w:r>
              <w:rPr>
                <w:sz w:val="18"/>
              </w:rPr>
              <w:t>6,377円</w:t>
            </w:r>
          </w:p>
        </w:tc>
        <w:tc>
          <w:tcPr>
            <w:tcW w:type="dxa" w:w="2880"/>
          </w:tcPr>
          <w:p>
            <w:r/>
            <w:r>
              <w:rPr>
                <w:sz w:val="18"/>
              </w:rPr>
              <w:t>-223円</w:t>
            </w:r>
          </w:p>
        </w:tc>
      </w:tr>
      <w:tr>
        <w:tc>
          <w:tcPr>
            <w:tcW w:type="dxa" w:w="2880"/>
          </w:tcPr>
          <w:p>
            <w:r/>
            <w:r>
              <w:rPr>
                <w:sz w:val="18"/>
              </w:rPr>
              <w:t>第1号負担割合が24％になった場合（取崩なし）</w:t>
            </w:r>
          </w:p>
        </w:tc>
        <w:tc>
          <w:tcPr>
            <w:tcW w:type="dxa" w:w="2880"/>
          </w:tcPr>
          <w:p>
            <w:r/>
            <w:r>
              <w:rPr>
                <w:sz w:val="18"/>
              </w:rPr>
              <w:t>6,985円</w:t>
            </w:r>
          </w:p>
        </w:tc>
        <w:tc>
          <w:tcPr>
            <w:tcW w:type="dxa" w:w="2880"/>
          </w:tcPr>
          <w:p>
            <w:r/>
            <w:r>
              <w:rPr>
                <w:sz w:val="18"/>
              </w:rPr>
              <w:t>+385円</w:t>
            </w:r>
          </w:p>
        </w:tc>
      </w:tr>
    </w:tbl>
    <w:p>
      <w:r>
        <w:rPr>
          <w:i/>
          <w:sz w:val="18"/>
        </w:rPr>
        <w:t>※ 標準給付費（3年計）3,330,495千円、地域支援事業費207,260千円（第9期見込を仮置き。実績未受領）、補正後被保険者数9,798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62.8円**（限界率22.04％＝負担割合23％＋調整交付金相当5％－見込交付割合5.963％）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**+303円**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**▲295円**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62.8円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4.0円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62.8円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303円、調整交付金の見込交付割合が1pt下がれば295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調整交付金見込交付割合の算定。第9期からの逆算値5.963％の更新</w:t>
            </w:r>
          </w:p>
        </w:tc>
        <w:tc>
          <w:tcPr>
            <w:tcW w:type="dxa" w:w="2160"/>
          </w:tcPr>
          <w:p>
            <w:r/>
            <w:r>
              <w:rPr>
                <w:sz w:val="18"/>
              </w:rPr>
              <w:t>**1ptで月額295円規模**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地域支援事業費の実績と事業別内訳（**依頼票S6**）。年報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1％で月額4.0円。3年計で約207,000千円の規模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**1,000万円で月額86円**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第9期の補正係数は0.968だが、令和7年度実績では0.952。低所得段階の割合が上がっている</w:t>
            </w:r>
          </w:p>
        </w:tc>
        <w:tc>
          <w:tcPr>
            <w:tcW w:type="dxa" w:w="2160"/>
          </w:tcPr>
          <w:p>
            <w:r/>
            <w:r>
              <w:rPr>
                <w:sz w:val="18"/>
              </w:rPr>
              <w:t>分母。補正係数0.016の差は月額約110円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**1ptで月額303円**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1％で月額63円。±1.5％を感度分析に併記済み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14日時点の受領データによる。地域支援事業費は第9期計画の見込額を仮置きしている。保険料基準額は、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