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ゴシック" w:cs="游ゴシック" w:eastAsia="游ゴシック" w:hAnsi="游ゴシック"/>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ゴシック" w:cs="游ゴシック" w:eastAsia="游ゴシック" w:hAnsi="游ゴシック"/>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pPr>
      <w:r>
        <w:rPr>
          <w:rFonts w:ascii="游ゴシック" w:cs="游ゴシック" w:eastAsia="游ゴシック" w:hAnsi="游ゴシック"/>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pPr>
      <w:r>
        <w:rPr>
          <w:rFonts w:ascii="游ゴシック" w:cs="游ゴシック" w:eastAsia="游ゴシック" w:hAnsi="游ゴシック"/>
          <w:b/>
          <w:bCs/>
          <w:color w:val="2E75B6"/>
          <w:sz w:val="22"/>
          <w:szCs w:val="22"/>
        </w:rPr>
        <w:t xml:space="preserve">2　政令・告示等による主な見直し</w:t>
      </w:r>
    </w:p>
    <w:p>
      <w:pPr>
        <w:spacing w:after="120" w:line="300"/>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施策4-3（在宅医療・介護連携の推進）に反映します。協力医療機関の3つの要件を満たさない施設の把握が求められますが、村内の入所施設は認知症対応型共同生活介護1施設のみです</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pPr>
      <w:r>
        <w:rPr>
          <w:rFonts w:ascii="游ゴシック" w:cs="游ゴシック" w:eastAsia="游ゴシック" w:hAnsi="游ゴシック"/>
          <w:b/>
          <w:bCs/>
          <w:color w:val="2E75B6"/>
          <w:sz w:val="22"/>
          <w:szCs w:val="22"/>
        </w:rPr>
        <w:t xml:space="preserve">第1号被保険者数の推計</w:t>
      </w:r>
    </w:p>
    <w:p>
      <w:pPr>
        <w:spacing w:after="120" w:line="300"/>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pPr>
      <w:r>
        <w:rPr>
          <w:rFonts w:ascii="游ゴシック" w:cs="游ゴシック" w:eastAsia="游ゴシック" w:hAnsi="游ゴシック"/>
          <w:b/>
          <w:bCs/>
          <w:color w:val="2E75B6"/>
          <w:sz w:val="22"/>
          <w:szCs w:val="22"/>
        </w:rPr>
        <w:t xml:space="preserve">県内・全国との比較</w:t>
      </w:r>
    </w:p>
    <w:p>
      <w:pPr>
        <w:spacing w:after="120" w:line="300"/>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pPr>
      <w:r>
        <w:rPr>
          <w:rFonts w:ascii="游ゴシック" w:cs="游ゴシック" w:eastAsia="游ゴシック" w:hAnsi="游ゴシック"/>
          <w:b/>
          <w:bCs/>
          <w:color w:val="2E75B6"/>
          <w:sz w:val="22"/>
          <w:szCs w:val="22"/>
        </w:rPr>
        <w:t xml:space="preserve">要介護度別の状況</w:t>
      </w:r>
    </w:p>
    <w:p>
      <w:pPr>
        <w:spacing w:after="120" w:line="300"/>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pPr>
      <w:r>
        <w:rPr>
          <w:rFonts w:ascii="游ゴシック" w:cs="游ゴシック" w:eastAsia="游ゴシック" w:hAnsi="游ゴシック"/>
          <w:b/>
          <w:bCs/>
          <w:color w:val="2E75B6"/>
          <w:sz w:val="22"/>
          <w:szCs w:val="22"/>
        </w:rPr>
        <w:t xml:space="preserve">性・年齢調整済み認定率</w:t>
      </w:r>
    </w:p>
    <w:p>
      <w:pPr>
        <w:spacing w:after="120" w:line="300"/>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　出典：地域包括ケア「見える化」システム</w:t>
      </w:r>
    </w:p>
    <w:p>
      <w:pPr>
        <w:spacing w:after="120" w:line="300"/>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pPr>
      <w:r>
        <w:rPr>
          <w:rFonts w:ascii="游ゴシック" w:cs="游ゴシック" w:eastAsia="游ゴシック" w:hAnsi="游ゴシック"/>
          <w:b/>
          <w:bCs/>
          <w:color w:val="2E75B6"/>
          <w:sz w:val="22"/>
          <w:szCs w:val="22"/>
        </w:rPr>
        <w:t xml:space="preserve">認知症高齢者の状況</w:t>
      </w:r>
    </w:p>
    <w:p>
      <w:pPr>
        <w:spacing w:after="120" w:line="300"/>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pPr>
      <w:r>
        <w:rPr>
          <w:rFonts w:ascii="游ゴシック" w:cs="游ゴシック" w:eastAsia="游ゴシック" w:hAnsi="游ゴシック"/>
          <w:b/>
          <w:bCs/>
          <w:color w:val="2E75B6"/>
          <w:sz w:val="22"/>
          <w:szCs w:val="22"/>
        </w:rPr>
        <w:t xml:space="preserve">★サービス区分別に見た変化</w:t>
      </w:r>
    </w:p>
    <w:p>
      <w:pPr>
        <w:spacing w:after="120" w:line="300"/>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pPr>
      <w:r>
        <w:rPr>
          <w:rFonts w:ascii="游ゴシック" w:cs="游ゴシック" w:eastAsia="游ゴシック" w:hAnsi="游ゴシック"/>
          <w:b/>
          <w:bCs/>
          <w:color w:val="2E75B6"/>
          <w:sz w:val="22"/>
          <w:szCs w:val="22"/>
        </w:rPr>
        <w:t xml:space="preserve">村内に所在する事業所の数</w:t>
      </w:r>
    </w:p>
    <w:p>
      <w:pPr>
        <w:spacing w:after="120" w:line="300"/>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pPr>
      <w:r>
        <w:rPr>
          <w:rFonts w:ascii="游ゴシック" w:cs="游ゴシック" w:eastAsia="游ゴシック" w:hAnsi="游ゴシック"/>
          <w:b/>
          <w:bCs/>
          <w:color w:val="2E75B6"/>
          <w:sz w:val="22"/>
          <w:szCs w:val="22"/>
        </w:rPr>
        <w:t xml:space="preserve">事業所数からみた供給体制の位置</w:t>
      </w:r>
    </w:p>
    <w:p>
      <w:pPr>
        <w:spacing w:after="120" w:line="300"/>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pPr>
      <w:r>
        <w:rPr>
          <w:rFonts w:ascii="游ゴシック" w:cs="游ゴシック" w:eastAsia="游ゴシック" w:hAnsi="游ゴシック"/>
          <w:b/>
          <w:bCs/>
          <w:color w:val="2E75B6"/>
          <w:sz w:val="22"/>
          <w:szCs w:val="22"/>
        </w:rPr>
        <w:t xml:space="preserve">村外サービスの利用状況</w:t>
      </w:r>
    </w:p>
    <w:p>
      <w:pPr>
        <w:spacing w:after="120" w:line="300"/>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pPr>
      <w:r>
        <w:rPr>
          <w:rFonts w:ascii="游ゴシック" w:cs="游ゴシック" w:eastAsia="游ゴシック" w:hAnsi="游ゴシック"/>
          <w:b/>
          <w:bCs/>
          <w:color w:val="2E75B6"/>
          <w:sz w:val="22"/>
          <w:szCs w:val="22"/>
        </w:rPr>
        <w:t xml:space="preserve">供給の継続性を把握する手だて</w:t>
      </w:r>
    </w:p>
    <w:p>
      <w:pPr>
        <w:spacing w:after="120" w:line="300"/>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pPr>
      <w:r>
        <w:rPr>
          <w:rFonts w:ascii="游ゴシック" w:cs="游ゴシック" w:eastAsia="游ゴシック" w:hAnsi="游ゴシック"/>
          <w:b/>
          <w:bCs/>
          <w:color w:val="2E75B6"/>
          <w:sz w:val="22"/>
          <w:szCs w:val="22"/>
        </w:rPr>
        <w:t xml:space="preserve">地域包括支援センター</w:t>
      </w:r>
    </w:p>
    <w:p>
      <w:pPr>
        <w:spacing w:after="120" w:line="300"/>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pPr>
      <w:r>
        <w:rPr>
          <w:rFonts w:ascii="游ゴシック" w:cs="游ゴシック" w:eastAsia="游ゴシック" w:hAnsi="游ゴシック"/>
          <w:b/>
          <w:bCs/>
          <w:color w:val="2E75B6"/>
          <w:sz w:val="22"/>
          <w:szCs w:val="22"/>
        </w:rPr>
        <w:t xml:space="preserve">目標別の得点の推移</w:t>
      </w:r>
    </w:p>
    <w:p>
      <w:pPr>
        <w:spacing w:after="120" w:line="300"/>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pPr>
      <w:r>
        <w:rPr>
          <w:rFonts w:ascii="游ゴシック" w:cs="游ゴシック" w:eastAsia="游ゴシック" w:hAnsi="游ゴシック"/>
          <w:b/>
          <w:bCs/>
          <w:color w:val="2E75B6"/>
          <w:sz w:val="22"/>
          <w:szCs w:val="22"/>
        </w:rPr>
        <w:t xml:space="preserve">得点が伸びた項目</w:t>
      </w:r>
    </w:p>
    <w:p>
      <w:pPr>
        <w:spacing w:after="120" w:line="300"/>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pPr>
      <w:r>
        <w:rPr>
          <w:rFonts w:ascii="游ゴシック" w:cs="游ゴシック" w:eastAsia="游ゴシック" w:hAnsi="游ゴシック"/>
          <w:b/>
          <w:bCs/>
          <w:color w:val="2E75B6"/>
          <w:sz w:val="22"/>
          <w:szCs w:val="22"/>
        </w:rPr>
        <w:t xml:space="preserve">指標群別にみると</w:t>
      </w:r>
    </w:p>
    <w:p>
      <w:pPr>
        <w:spacing w:after="120" w:line="300"/>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pPr>
      <w:r>
        <w:rPr>
          <w:rFonts w:ascii="游ゴシック" w:cs="游ゴシック" w:eastAsia="游ゴシック" w:hAnsi="游ゴシック"/>
          <w:b/>
          <w:bCs/>
          <w:color w:val="2E75B6"/>
          <w:sz w:val="22"/>
          <w:szCs w:val="22"/>
        </w:rPr>
        <w:t xml:space="preserve">3か年の推移の全体像</w:t>
      </w:r>
    </w:p>
    <w:p>
      <w:pPr>
        <w:spacing w:after="120" w:line="300"/>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pPr>
      <w:r>
        <w:rPr>
          <w:rFonts w:ascii="游ゴシック" w:cs="游ゴシック" w:eastAsia="游ゴシック" w:hAnsi="游ゴシック"/>
          <w:b/>
          <w:bCs/>
          <w:color w:val="2E75B6"/>
          <w:sz w:val="22"/>
          <w:szCs w:val="22"/>
        </w:rPr>
        <w:t xml:space="preserve">目標別に全国平均と比べると</w:t>
      </w:r>
    </w:p>
    <w:p>
      <w:pPr>
        <w:spacing w:after="120" w:line="300"/>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pPr>
      <w:r>
        <w:rPr>
          <w:rFonts w:ascii="游ゴシック" w:cs="游ゴシック" w:eastAsia="游ゴシック" w:hAnsi="游ゴシック"/>
          <w:b/>
          <w:bCs/>
          <w:color w:val="2E75B6"/>
          <w:sz w:val="22"/>
          <w:szCs w:val="22"/>
        </w:rPr>
        <w:t xml:space="preserve">福島県の評価と重ねると</w:t>
      </w:r>
    </w:p>
    <w:p>
      <w:pPr>
        <w:spacing w:after="120" w:line="300"/>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pPr>
      <w:r>
        <w:rPr>
          <w:rFonts w:ascii="游ゴシック" w:cs="游ゴシック" w:eastAsia="游ゴシック" w:hAnsi="游ゴシック"/>
          <w:b/>
          <w:bCs/>
          <w:color w:val="2E75B6"/>
          <w:sz w:val="22"/>
          <w:szCs w:val="22"/>
        </w:rPr>
        <w:t xml:space="preserve">残された課題は2点です</w:t>
      </w:r>
    </w:p>
    <w:p>
      <w:pPr>
        <w:spacing w:after="120" w:line="300"/>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成果指標（アウトカム）の状況</w:t>
      </w:r>
    </w:p>
    <w:p>
      <w:pPr>
        <w:spacing w:after="120" w:line="300"/>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pPr>
      <w:r>
        <w:rPr>
          <w:rFonts w:ascii="游ゴシック" w:cs="游ゴシック" w:eastAsia="游ゴシック" w:hAnsi="游ゴシック"/>
          <w:b/>
          <w:bCs/>
          <w:color w:val="2E75B6"/>
          <w:sz w:val="22"/>
          <w:szCs w:val="22"/>
        </w:rPr>
        <w:t xml:space="preserve">検証から得られた課題</w:t>
      </w:r>
    </w:p>
    <w:p>
      <w:pPr>
        <w:spacing w:after="120" w:line="300"/>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pPr>
      <w:r>
        <w:rPr>
          <w:rFonts w:ascii="游ゴシック" w:cs="游ゴシック" w:eastAsia="游ゴシック" w:hAnsi="游ゴシック"/>
          <w:b/>
          <w:bCs/>
          <w:color w:val="2E75B6"/>
          <w:sz w:val="22"/>
          <w:szCs w:val="22"/>
        </w:rPr>
        <w:t xml:space="preserve">重点1　軽度の方の重度化を防ぎます</w:t>
      </w:r>
    </w:p>
    <w:p>
      <w:pPr>
        <w:spacing w:after="120" w:line="300"/>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pPr>
      <w:r>
        <w:rPr>
          <w:rFonts w:ascii="游ゴシック" w:cs="游ゴシック" w:eastAsia="游ゴシック" w:hAnsi="游ゴシック"/>
          <w:b/>
          <w:bCs/>
          <w:color w:val="2E75B6"/>
          <w:sz w:val="22"/>
          <w:szCs w:val="22"/>
        </w:rPr>
        <w:t xml:space="preserve">重点2　後期高齢者の増加に備えます</w:t>
      </w:r>
    </w:p>
    <w:p>
      <w:pPr>
        <w:spacing w:after="120" w:line="300"/>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pPr>
      <w:r>
        <w:rPr>
          <w:rFonts w:ascii="游ゴシック" w:cs="游ゴシック" w:eastAsia="游ゴシック" w:hAnsi="游ゴシック"/>
          <w:b/>
          <w:bCs/>
          <w:color w:val="2E75B6"/>
          <w:sz w:val="22"/>
          <w:szCs w:val="22"/>
        </w:rPr>
        <w:t xml:space="preserve">重点3　冬期の生活と移動を支えます</w:t>
      </w:r>
    </w:p>
    <w:p>
      <w:pPr>
        <w:spacing w:after="120" w:line="300"/>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2808"/>
        <w:gridCol w:w="1310"/>
        <w:gridCol w:w="131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pPr>
      <w:r>
        <w:rPr>
          <w:rFonts w:ascii="游ゴシック" w:cs="游ゴシック" w:eastAsia="游ゴシック" w:hAnsi="游ゴシック"/>
          <w:sz w:val="20"/>
          <w:szCs w:val="20"/>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介護予防・生活支援サービス事業による移動支援の創設を検討します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pPr>
      <w:r>
        <w:rPr>
          <w:rFonts w:ascii="游ゴシック" w:cs="游ゴシック" w:eastAsia="游ゴシック" w:hAnsi="游ゴシック"/>
          <w:b/>
          <w:bCs/>
          <w:color w:val="2E75B6"/>
          <w:sz w:val="22"/>
          <w:szCs w:val="22"/>
        </w:rPr>
        <w:t xml:space="preserve">現状と課題</w:t>
      </w:r>
    </w:p>
    <w:p>
      <w:pPr>
        <w:spacing w:after="120" w:line="300"/>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keepNext/>
        <w:keepLines/>
        <w:spacing w:after="100" w:line="300"/>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1030"/>
        <w:gridCol w:w="749"/>
        <w:gridCol w:w="749"/>
        <w:gridCol w:w="749"/>
        <w:gridCol w:w="205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村の委託により現在の体制を維持する。利用の増加には介護予防・生活支援サービス事業の活用を検討する（施策2-3）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ひとり暮らし高齢者等への設置を継続する。避難行動要支援者名簿の整備とあわせて対象を把握する（施策2-4）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公共交通担当部局と連携し、介護予防・生活支援サービス事業による移動支援の創設を検討する。認知症の方の交通手段の確保を含む（施策2-1）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現在の支給要件を維持する（施策4-4）</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多様な学習機会を確保する。通いの場（施策1-1）との役割分担を整理する（施策2-2）</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pPr>
      <w:r>
        <w:rPr>
          <w:rFonts w:ascii="游ゴシック" w:cs="游ゴシック" w:eastAsia="游ゴシック" w:hAnsi="游ゴシック"/>
          <w:b/>
          <w:bCs/>
          <w:color w:val="2E75B6"/>
          <w:sz w:val="22"/>
          <w:szCs w:val="22"/>
        </w:rPr>
        <w:t xml:space="preserve">(1) 法が市町村に求めていること</w:t>
      </w:r>
    </w:p>
    <w:p>
      <w:pPr>
        <w:spacing w:after="120" w:line="300"/>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pPr>
      <w:r>
        <w:rPr>
          <w:rFonts w:ascii="游ゴシック" w:cs="游ゴシック" w:eastAsia="游ゴシック" w:hAnsi="游ゴシック"/>
          <w:b/>
          <w:bCs/>
          <w:color w:val="2E75B6"/>
          <w:sz w:val="22"/>
          <w:szCs w:val="22"/>
        </w:rPr>
        <w:t xml:space="preserve">(2) 3つの基本的な考え方</w:t>
      </w:r>
    </w:p>
    <w:p>
      <w:pPr>
        <w:spacing w:after="120" w:line="300"/>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pPr>
      <w:r>
        <w:rPr>
          <w:rFonts w:ascii="游ゴシック" w:cs="游ゴシック" w:eastAsia="游ゴシック" w:hAnsi="游ゴシック"/>
          <w:b/>
          <w:bCs/>
          <w:color w:val="2E75B6"/>
          <w:sz w:val="22"/>
          <w:szCs w:val="22"/>
        </w:rPr>
        <w:t xml:space="preserve">(4) 認知症の日および認知症月間</w:t>
      </w:r>
    </w:p>
    <w:p>
      <w:pPr>
        <w:spacing w:after="120" w:line="300"/>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pPr>
      <w:r>
        <w:rPr>
          <w:rFonts w:ascii="游ゴシック" w:cs="游ゴシック" w:eastAsia="游ゴシック" w:hAnsi="游ゴシック"/>
          <w:b/>
          <w:bCs/>
          <w:color w:val="2E75B6"/>
          <w:sz w:val="22"/>
          <w:szCs w:val="22"/>
        </w:rPr>
        <w:t xml:space="preserve">(5) 認知症の人および家族等の参画</w:t>
      </w:r>
    </w:p>
    <w:p>
      <w:pPr>
        <w:spacing w:after="120" w:line="300"/>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pPr>
      <w:r>
        <w:rPr>
          <w:rFonts w:ascii="游ゴシック" w:cs="游ゴシック" w:eastAsia="游ゴシック" w:hAnsi="游ゴシック"/>
          <w:b/>
          <w:bCs/>
          <w:color w:val="2E75B6"/>
          <w:sz w:val="22"/>
          <w:szCs w:val="22"/>
        </w:rPr>
        <w:t xml:space="preserve">(6) 施策の実施状況の評価と公表</w:t>
      </w:r>
    </w:p>
    <w:p>
      <w:pPr>
        <w:spacing w:after="120" w:line="300"/>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872"/>
        <w:gridCol w:w="1685"/>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pPr>
      <w:r>
        <w:rPr>
          <w:rFonts w:ascii="游ゴシック" w:cs="游ゴシック" w:eastAsia="游ゴシック" w:hAnsi="游ゴシック"/>
          <w:b/>
          <w:bCs/>
          <w:color w:val="2E75B6"/>
          <w:sz w:val="22"/>
          <w:szCs w:val="22"/>
        </w:rPr>
        <w:t xml:space="preserve">用いる人口の系列</w:t>
      </w:r>
    </w:p>
    <w:p>
      <w:pPr>
        <w:spacing w:after="120" w:line="300"/>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pPr>
      <w:r>
        <w:rPr>
          <w:rFonts w:ascii="游ゴシック" w:cs="游ゴシック" w:eastAsia="游ゴシック" w:hAnsi="游ゴシック"/>
          <w:b/>
          <w:bCs/>
          <w:color w:val="2E75B6"/>
          <w:sz w:val="22"/>
          <w:szCs w:val="22"/>
        </w:rPr>
        <w:t xml:space="preserve">第1号被保険者数（★第9期からの変更点）</w:t>
      </w:r>
    </w:p>
    <w:p>
      <w:pPr>
        <w:spacing w:after="120" w:line="300"/>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要支援・要介護認定者数</w:t>
      </w:r>
    </w:p>
    <w:p>
      <w:pPr>
        <w:spacing w:after="120" w:line="300"/>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pPr>
      <w:r>
        <w:rPr>
          <w:rFonts w:ascii="游ゴシック" w:cs="游ゴシック" w:eastAsia="游ゴシック" w:hAnsi="游ゴシック"/>
          <w:b/>
          <w:bCs/>
          <w:color w:val="2E75B6"/>
          <w:sz w:val="22"/>
          <w:szCs w:val="22"/>
        </w:rPr>
        <w:t xml:space="preserve">サービス見込量・給付費</w:t>
      </w:r>
    </w:p>
    <w:p>
      <w:pPr>
        <w:spacing w:after="120" w:line="300"/>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1,009</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936"/>
        <w:gridCol w:w="936"/>
        <w:gridCol w:w="936"/>
        <w:gridCol w:w="936"/>
        <w:gridCol w:w="936"/>
        <w:gridCol w:w="936"/>
        <w:gridCol w:w="936"/>
        <w:gridCol w:w="842"/>
        <w:gridCol w:w="656"/>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65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206</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65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pPr>
      <w:r>
        <w:rPr>
          <w:rFonts w:ascii="游ゴシック" w:cs="游ゴシック" w:eastAsia="游ゴシック" w:hAnsi="游ゴシック"/>
          <w:b/>
          <w:bCs/>
          <w:color w:val="2E75B6"/>
          <w:sz w:val="22"/>
          <w:szCs w:val="22"/>
        </w:rPr>
        <w:t xml:space="preserve">推計の検証　当方の算定との突合</w:t>
      </w:r>
    </w:p>
    <w:p>
      <w:pPr>
        <w:spacing w:after="120" w:line="300"/>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808"/>
        <w:gridCol w:w="3744"/>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123"/>
        <w:gridCol w:w="1123"/>
        <w:gridCol w:w="1123"/>
        <w:gridCol w:w="1030"/>
        <w:gridCol w:w="1966"/>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3か年計</w:t>
            </w:r>
          </w:p>
        </w:tc>
        <w:tc>
          <w:tcPr>
            <w:tcW w:type="dxa" w:w="196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629</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96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pPr>
      <w:r>
        <w:rPr>
          <w:rFonts w:ascii="游ゴシック" w:cs="游ゴシック" w:eastAsia="游ゴシック" w:hAnsi="游ゴシック"/>
          <w:b/>
          <w:bCs/>
          <w:color w:val="2E75B6"/>
          <w:sz w:val="22"/>
          <w:szCs w:val="22"/>
        </w:rPr>
        <w:t xml:space="preserve">基準年度とデータの月数</w:t>
      </w:r>
    </w:p>
    <w:p>
      <w:pPr>
        <w:spacing w:after="120" w:line="300"/>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1404"/>
        <w:gridCol w:w="1404"/>
        <w:gridCol w:w="2059"/>
        <w:gridCol w:w="1123"/>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pPr>
      <w:r>
        <w:rPr>
          <w:rFonts w:ascii="游ゴシック" w:cs="游ゴシック" w:eastAsia="游ゴシック" w:hAnsi="游ゴシック"/>
          <w:b/>
          <w:bCs/>
          <w:color w:val="2E75B6"/>
          <w:sz w:val="22"/>
          <w:szCs w:val="22"/>
        </w:rPr>
        <w:t xml:space="preserve">利用率の分母</w:t>
      </w:r>
    </w:p>
    <w:p>
      <w:pPr>
        <w:spacing w:after="120" w:line="300"/>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pPr>
      <w:r>
        <w:rPr>
          <w:rFonts w:ascii="游ゴシック" w:cs="游ゴシック" w:eastAsia="游ゴシック" w:hAnsi="游ゴシック"/>
          <w:b/>
          <w:bCs/>
          <w:color w:val="2E75B6"/>
          <w:sz w:val="22"/>
          <w:szCs w:val="22"/>
        </w:rPr>
        <w:t xml:space="preserve">算定の対象とするサービス</w:t>
      </w:r>
    </w:p>
    <w:p>
      <w:pPr>
        <w:spacing w:after="120" w:line="300"/>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(1) 居宅サービス</w:t>
      </w:r>
    </w:p>
    <w:p>
      <w:pPr>
        <w:spacing w:after="120" w:line="300"/>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pPr>
      <w:r>
        <w:rPr>
          <w:rFonts w:ascii="游ゴシック" w:cs="游ゴシック" w:eastAsia="游ゴシック" w:hAnsi="游ゴシック"/>
          <w:b/>
          <w:bCs/>
          <w:color w:val="2E75B6"/>
          <w:sz w:val="22"/>
          <w:szCs w:val="22"/>
        </w:rPr>
        <w:t xml:space="preserve">(4) 令和9年4月に新設される区分</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pPr>
      <w:r>
        <w:rPr>
          <w:rFonts w:ascii="游ゴシック" w:cs="游ゴシック" w:eastAsia="游ゴシック" w:hAnsi="游ゴシック"/>
          <w:b/>
          <w:bCs/>
          <w:color w:val="2E75B6"/>
          <w:sz w:val="22"/>
          <w:szCs w:val="22"/>
        </w:rPr>
        <w:t xml:space="preserve">(5) 供給の制約</w:t>
      </w:r>
    </w:p>
    <w:p>
      <w:pPr>
        <w:spacing w:after="120" w:line="300"/>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pPr>
      <w:r>
        <w:rPr>
          <w:rFonts w:ascii="游ゴシック" w:cs="游ゴシック" w:eastAsia="游ゴシック" w:hAnsi="游ゴシック"/>
          <w:b/>
          <w:bCs/>
          <w:color w:val="2E75B6"/>
          <w:sz w:val="22"/>
          <w:szCs w:val="22"/>
        </w:rPr>
        <w:t xml:space="preserve">(6) 見込量の自己点検</w:t>
      </w:r>
    </w:p>
    <w:p>
      <w:pPr>
        <w:spacing w:after="120" w:line="300"/>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pPr>
      <w:r>
        <w:rPr>
          <w:rFonts w:ascii="游ゴシック" w:cs="游ゴシック" w:eastAsia="游ゴシック" w:hAnsi="游ゴシック"/>
          <w:sz w:val="21"/>
          <w:szCs w:val="21"/>
        </w:rPr>
        <w:t xml:space="preserve">　閾値　＝　Q1 － 2×（Q3－Q1）　から　Q3 ＋ 2×（Q3－Q1）　まで</w:t>
      </w:r>
    </w:p>
    <w:p>
      <w:pPr>
        <w:spacing w:after="120" w:line="300"/>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pPr>
      <w:r>
        <w:rPr>
          <w:rFonts w:ascii="游ゴシック" w:cs="游ゴシック" w:eastAsia="游ゴシック" w:hAnsi="游ゴシック"/>
          <w:b/>
          <w:bCs/>
          <w:color w:val="2E75B6"/>
          <w:sz w:val="22"/>
          <w:szCs w:val="22"/>
        </w:rPr>
        <w:t xml:space="preserve">(7) 介護給付と予防給付の区分</w:t>
      </w:r>
    </w:p>
    <w:p>
      <w:pPr>
        <w:spacing w:after="120" w:line="300"/>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pPr>
      <w:r>
        <w:rPr>
          <w:rFonts w:ascii="游ゴシック" w:cs="游ゴシック" w:eastAsia="游ゴシック" w:hAnsi="游ゴシック"/>
          <w:b/>
          <w:bCs/>
          <w:color w:val="2E75B6"/>
          <w:sz w:val="22"/>
          <w:szCs w:val="22"/>
        </w:rPr>
        <w:t xml:space="preserve">(10) 推計の不確かさ</w:t>
      </w:r>
    </w:p>
    <w:p>
      <w:pPr>
        <w:spacing w:after="120" w:line="300"/>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pPr>
      <w:r>
        <w:rPr>
          <w:rFonts w:ascii="游ゴシック" w:cs="游ゴシック" w:eastAsia="游ゴシック" w:hAnsi="游ゴシック"/>
          <w:b/>
          <w:bCs/>
          <w:color w:val="2E75B6"/>
          <w:sz w:val="22"/>
          <w:szCs w:val="22"/>
        </w:rPr>
        <w:t xml:space="preserve">① 単価の趨勢</w:t>
      </w:r>
    </w:p>
    <w:p>
      <w:pPr>
        <w:spacing w:after="120" w:line="300"/>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pPr>
      <w:r>
        <w:rPr>
          <w:rFonts w:ascii="游ゴシック" w:cs="游ゴシック" w:eastAsia="游ゴシック" w:hAnsi="游ゴシック"/>
          <w:b/>
          <w:bCs/>
          <w:color w:val="2E75B6"/>
          <w:sz w:val="22"/>
          <w:szCs w:val="22"/>
        </w:rPr>
        <w:t xml:space="preserve">② サービス別の伸びの偏り</w:t>
      </w:r>
    </w:p>
    <w:p>
      <w:pPr>
        <w:spacing w:after="120" w:line="300"/>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pPr>
      <w:r>
        <w:rPr>
          <w:rFonts w:ascii="游ゴシック" w:cs="游ゴシック" w:eastAsia="游ゴシック" w:hAnsi="游ゴシック"/>
          <w:b/>
          <w:bCs/>
          <w:color w:val="2E75B6"/>
          <w:sz w:val="22"/>
          <w:szCs w:val="22"/>
        </w:rPr>
        <w:t xml:space="preserve">③ 推計そのものの誤差</w:t>
      </w:r>
    </w:p>
    <w:p>
      <w:pPr>
        <w:spacing w:after="120" w:line="300"/>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pPr>
      <w:r>
        <w:rPr>
          <w:rFonts w:ascii="游ゴシック" w:cs="游ゴシック" w:eastAsia="游ゴシック" w:hAnsi="游ゴシック"/>
          <w:b/>
          <w:bCs/>
          <w:color w:val="2E75B6"/>
          <w:sz w:val="22"/>
          <w:szCs w:val="22"/>
        </w:rPr>
        <w:t xml:space="preserve">(11) 施策の見込量への反映</w:t>
      </w:r>
    </w:p>
    <w:p>
      <w:pPr>
        <w:spacing w:after="120" w:line="300"/>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pPr>
      <w:r>
        <w:rPr>
          <w:rFonts w:ascii="游ゴシック" w:cs="游ゴシック" w:eastAsia="游ゴシック" w:hAnsi="游ゴシック"/>
          <w:b/>
          <w:bCs/>
          <w:color w:val="2E75B6"/>
          <w:sz w:val="22"/>
          <w:szCs w:val="22"/>
        </w:rPr>
        <w:t xml:space="preserve">(12) 需要に対する供給（担い手の枠）</w:t>
      </w:r>
    </w:p>
    <w:p>
      <w:pPr>
        <w:spacing w:after="120" w:line="300"/>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pPr>
      <w:r>
        <w:rPr>
          <w:rFonts w:ascii="游ゴシック" w:cs="游ゴシック" w:eastAsia="游ゴシック" w:hAnsi="游ゴシック"/>
          <w:b/>
          <w:bCs/>
          <w:color w:val="2E75B6"/>
          <w:sz w:val="22"/>
          <w:szCs w:val="22"/>
        </w:rPr>
        <w:t xml:space="preserve">(14) 24時間対応サービスの確保方策</w:t>
      </w:r>
    </w:p>
    <w:p>
      <w:pPr>
        <w:spacing w:after="120" w:line="300"/>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pPr>
      <w:r>
        <w:rPr>
          <w:rFonts w:ascii="游ゴシック" w:cs="游ゴシック" w:eastAsia="游ゴシック" w:hAnsi="游ゴシック"/>
          <w:b/>
          <w:bCs/>
          <w:color w:val="2E75B6"/>
          <w:sz w:val="22"/>
          <w:szCs w:val="22"/>
        </w:rPr>
        <w:t xml:space="preserve">(1) 地域支援事業の量の見込み</w:t>
      </w:r>
    </w:p>
    <w:p>
      <w:pPr>
        <w:spacing w:after="120" w:line="300"/>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842"/>
        <w:gridCol w:w="842"/>
        <w:gridCol w:w="842"/>
        <w:gridCol w:w="1030"/>
        <w:gridCol w:w="1030"/>
        <w:gridCol w:w="936"/>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pPr>
      <w:r>
        <w:rPr>
          <w:rFonts w:ascii="游ゴシック" w:cs="游ゴシック" w:eastAsia="游ゴシック" w:hAnsi="游ゴシック"/>
          <w:b/>
          <w:bCs/>
          <w:color w:val="2E75B6"/>
          <w:sz w:val="22"/>
          <w:szCs w:val="22"/>
        </w:rPr>
        <w:t xml:space="preserve">量の見込みの立て方</w:t>
      </w:r>
    </w:p>
    <w:p>
      <w:pPr>
        <w:spacing w:after="120" w:line="300"/>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pPr>
      <w:r>
        <w:rPr>
          <w:rFonts w:ascii="游ゴシック" w:cs="游ゴシック" w:eastAsia="游ゴシック" w:hAnsi="游ゴシック"/>
          <w:b/>
          <w:bCs/>
          <w:color w:val="2E75B6"/>
          <w:sz w:val="22"/>
          <w:szCs w:val="22"/>
        </w:rPr>
        <w:t xml:space="preserve">(2) 地域支援事業費の見込み</w:t>
      </w:r>
    </w:p>
    <w:p>
      <w:pPr>
        <w:spacing w:after="120" w:line="300"/>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pPr>
      <w:r>
        <w:rPr>
          <w:rFonts w:ascii="游ゴシック" w:cs="游ゴシック" w:eastAsia="游ゴシック" w:hAnsi="游ゴシック"/>
          <w:b/>
          <w:bCs/>
          <w:color w:val="2E75B6"/>
          <w:sz w:val="22"/>
          <w:szCs w:val="22"/>
        </w:rPr>
        <w:t xml:space="preserve">介護給付費と予防給付費の分離</w:t>
      </w:r>
    </w:p>
    <w:p>
      <w:pPr>
        <w:spacing w:after="120" w:line="300"/>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pPr>
      <w:r>
        <w:rPr>
          <w:rFonts w:ascii="游ゴシック" w:cs="游ゴシック" w:eastAsia="游ゴシック" w:hAnsi="游ゴシック"/>
          <w:b/>
          <w:bCs/>
          <w:color w:val="2E75B6"/>
          <w:sz w:val="22"/>
          <w:szCs w:val="22"/>
        </w:rPr>
        <w:t xml:space="preserve">補助給付等の対標準給付費比</w:t>
      </w:r>
    </w:p>
    <w:p>
      <w:pPr>
        <w:spacing w:after="120" w:line="300"/>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246"/>
        <w:gridCol w:w="1685"/>
        <w:gridCol w:w="3557"/>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spacing w:after="120" w:line="300"/>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keepNext/>
        <w:keepLines/>
        <w:spacing w:after="100" w:line="300"/>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pPr>
      <w:r>
        <w:rPr>
          <w:rFonts w:ascii="游ゴシック" w:cs="游ゴシック" w:eastAsia="游ゴシック" w:hAnsi="游ゴシック"/>
          <w:b/>
          <w:bCs/>
          <w:color w:val="2E75B6"/>
          <w:sz w:val="22"/>
          <w:szCs w:val="22"/>
        </w:rPr>
        <w:t xml:space="preserve">第10期の保険料基準額</w:t>
      </w:r>
    </w:p>
    <w:p>
      <w:pPr>
        <w:spacing w:after="120" w:line="300"/>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w:t>
      </w:r>
    </w:p>
    <w:p>
      <w:pPr>
        <w:spacing w:after="120" w:line="300"/>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pPr>
      <w:r>
        <w:rPr>
          <w:rFonts w:ascii="游ゴシック" w:cs="游ゴシック" w:eastAsia="游ゴシック" w:hAnsi="游ゴシック"/>
          <w:b/>
          <w:bCs/>
          <w:color w:val="2E75B6"/>
          <w:sz w:val="22"/>
          <w:szCs w:val="22"/>
        </w:rPr>
        <w:t xml:space="preserve">確定した算定の係数</w:t>
      </w:r>
    </w:p>
    <w:p>
      <w:pPr>
        <w:spacing w:after="120" w:line="300"/>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99.50%</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pPr>
      <w:r>
        <w:rPr>
          <w:rFonts w:ascii="游ゴシック" w:cs="游ゴシック" w:eastAsia="游ゴシック" w:hAnsi="游ゴシック"/>
          <w:b/>
          <w:bCs/>
          <w:color w:val="2E75B6"/>
          <w:sz w:val="22"/>
          <w:szCs w:val="22"/>
        </w:rPr>
        <w:t xml:space="preserve">介護給付費準備基金の取崩しの水準</w:t>
      </w:r>
    </w:p>
    <w:p>
      <w:pPr>
        <w:spacing w:after="120" w:line="300"/>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1123"/>
        <w:gridCol w:w="1030"/>
        <w:gridCol w:w="936"/>
        <w:gridCol w:w="1217"/>
        <w:gridCol w:w="936"/>
        <w:gridCol w:w="467"/>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取崩額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第10期（算定上）</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第10期（条例上）</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第9期との差</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第11期に残る残高</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第11期（条例上）</w:t>
            </w:r>
          </w:p>
        </w:tc>
        <w:tc>
          <w:tcPr>
            <w:tcW w:type="dxa" w:w="4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　基金を取り崩さない</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6,610.55円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24,000,000円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5,952.45円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40,000,000円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5,500円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▲1,200円</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2,128,183円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7,200円</w:t>
            </w:r>
          </w:p>
        </w:tc>
        <w:tc>
          <w:tcPr>
            <w:tcW w:type="dxa" w:w="4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月額58円分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pPr>
      <w:r>
        <w:rPr>
          <w:rFonts w:ascii="游ゴシック" w:cs="游ゴシック" w:eastAsia="游ゴシック" w:hAnsi="游ゴシック"/>
          <w:b/>
          <w:bCs/>
          <w:color w:val="2E75B6"/>
          <w:sz w:val="22"/>
          <w:szCs w:val="22"/>
        </w:rPr>
        <w:t xml:space="preserve">保険料基準額の算定</w:t>
      </w:r>
    </w:p>
    <w:p>
      <w:pPr>
        <w:spacing w:after="120" w:line="300"/>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pPr>
      <w:r>
        <w:rPr>
          <w:rFonts w:ascii="游ゴシック" w:cs="游ゴシック" w:eastAsia="游ゴシック" w:hAnsi="游ゴシック"/>
          <w:b/>
          <w:bCs/>
          <w:color w:val="2E75B6"/>
          <w:sz w:val="22"/>
          <w:szCs w:val="22"/>
        </w:rPr>
        <w:t xml:space="preserve">算定の構造</w:t>
      </w:r>
    </w:p>
    <w:p>
      <w:pPr>
        <w:spacing w:after="120" w:line="300"/>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pPr>
      <w:r>
        <w:rPr>
          <w:rFonts w:ascii="游ゴシック" w:cs="游ゴシック" w:eastAsia="游ゴシック" w:hAnsi="游ゴシック"/>
          <w:b/>
          <w:bCs/>
          <w:color w:val="2E75B6"/>
          <w:sz w:val="22"/>
          <w:szCs w:val="22"/>
        </w:rPr>
        <w:t xml:space="preserve">算定の構造による第9期の再現</w:t>
      </w:r>
    </w:p>
    <w:p>
      <w:pPr>
        <w:spacing w:after="120" w:line="300"/>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pPr>
      <w:r>
        <w:rPr>
          <w:rFonts w:ascii="游ゴシック" w:cs="游ゴシック" w:eastAsia="游ゴシック" w:hAnsi="游ゴシック"/>
          <w:b/>
          <w:bCs/>
          <w:color w:val="2E75B6"/>
          <w:sz w:val="22"/>
          <w:szCs w:val="22"/>
        </w:rPr>
        <w:t xml:space="preserve">第1号被保険者負担割合（α）</w:t>
      </w:r>
    </w:p>
    <w:p>
      <w:pPr>
        <w:spacing w:after="120" w:line="300"/>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pPr>
      <w:r>
        <w:rPr>
          <w:rFonts w:ascii="游ゴシック" w:cs="游ゴシック" w:eastAsia="游ゴシック" w:hAnsi="游ゴシック"/>
          <w:b/>
          <w:bCs/>
          <w:color w:val="2E75B6"/>
          <w:sz w:val="22"/>
          <w:szCs w:val="22"/>
        </w:rPr>
        <w:t xml:space="preserve">感応度</w:t>
      </w:r>
    </w:p>
    <w:p>
      <w:pPr>
        <w:spacing w:after="120" w:line="300"/>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pPr>
      <w:r>
        <w:rPr>
          <w:rFonts w:ascii="游ゴシック" w:cs="游ゴシック" w:eastAsia="游ゴシック" w:hAnsi="游ゴシック"/>
          <w:b/>
          <w:bCs/>
          <w:color w:val="2E75B6"/>
          <w:sz w:val="22"/>
          <w:szCs w:val="22"/>
        </w:rPr>
        <w:t xml:space="preserve">年度別の保険料収納必要額</w:t>
      </w:r>
    </w:p>
    <w:p>
      <w:pPr>
        <w:spacing w:after="120" w:line="300"/>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pPr>
      <w:r>
        <w:rPr>
          <w:rFonts w:ascii="游ゴシック" w:cs="游ゴシック" w:eastAsia="游ゴシック" w:hAnsi="游ゴシック"/>
          <w:b/>
          <w:bCs/>
          <w:color w:val="2E75B6"/>
          <w:sz w:val="22"/>
          <w:szCs w:val="22"/>
        </w:rPr>
        <w:t xml:space="preserve">保険料基準額のパターン</w:t>
      </w:r>
    </w:p>
    <w:p>
      <w:pPr>
        <w:spacing w:after="120" w:line="300"/>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pPr>
      <w:r>
        <w:rPr>
          <w:rFonts w:ascii="游ゴシック" w:cs="游ゴシック" w:eastAsia="游ゴシック" w:hAnsi="游ゴシック"/>
          <w:b/>
          <w:bCs/>
          <w:color w:val="2E75B6"/>
          <w:sz w:val="22"/>
          <w:szCs w:val="22"/>
        </w:rPr>
        <w:t xml:space="preserve">算定上の月額と条例上の基準額</w:t>
      </w:r>
    </w:p>
    <w:p>
      <w:pPr>
        <w:spacing w:after="120" w:line="300"/>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pPr>
      <w:r>
        <w:rPr>
          <w:rFonts w:ascii="游ゴシック" w:cs="游ゴシック" w:eastAsia="游ゴシック" w:hAnsi="游ゴシック"/>
          <w:b/>
          <w:bCs/>
          <w:color w:val="2E75B6"/>
          <w:sz w:val="22"/>
          <w:szCs w:val="22"/>
        </w:rPr>
        <w:t xml:space="preserve">所得段階の設定</w:t>
      </w:r>
    </w:p>
    <w:p>
      <w:pPr>
        <w:spacing w:after="120" w:line="300"/>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出典：令和8年度合計所得金額分布調査</w:t>
      </w:r>
    </w:p>
    <w:p>
      <w:pPr>
        <w:spacing w:after="120" w:line="300"/>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pPr>
      <w:r>
        <w:rPr>
          <w:rFonts w:ascii="游ゴシック" w:cs="游ゴシック" w:eastAsia="游ゴシック" w:hAnsi="游ゴシック"/>
          <w:b/>
          <w:bCs/>
          <w:color w:val="2E75B6"/>
          <w:sz w:val="22"/>
          <w:szCs w:val="22"/>
        </w:rPr>
        <w:t xml:space="preserve">(3) 財政調整交付金の算定への影響</w:t>
      </w:r>
    </w:p>
    <w:p>
      <w:pPr>
        <w:spacing w:after="120" w:line="300"/>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pPr>
      <w:r>
        <w:rPr>
          <w:rFonts w:ascii="游ゴシック" w:cs="游ゴシック" w:eastAsia="游ゴシック" w:hAnsi="游ゴシック"/>
          <w:b/>
          <w:bCs/>
          <w:color w:val="2E75B6"/>
          <w:sz w:val="22"/>
          <w:szCs w:val="22"/>
        </w:rPr>
        <w:t xml:space="preserve">(4) 介護SCRの活用</w:t>
      </w:r>
    </w:p>
    <w:p>
      <w:pPr>
        <w:spacing w:after="120" w:line="300"/>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pPr>
      <w:r>
        <w:rPr>
          <w:rFonts w:ascii="游ゴシック" w:cs="游ゴシック" w:eastAsia="游ゴシック" w:hAnsi="游ゴシック"/>
          <w:b/>
          <w:bCs/>
          <w:color w:val="2E75B6"/>
          <w:sz w:val="22"/>
          <w:szCs w:val="22"/>
        </w:rPr>
        <w:t xml:space="preserve">(1) 交付見込額</w:t>
      </w:r>
    </w:p>
    <w:p>
      <w:pPr>
        <w:spacing w:after="120" w:line="300"/>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pPr>
      <w:r>
        <w:rPr>
          <w:rFonts w:ascii="游ゴシック" w:cs="游ゴシック" w:eastAsia="游ゴシック" w:hAnsi="游ゴシック"/>
          <w:b/>
          <w:bCs/>
          <w:color w:val="2E75B6"/>
          <w:sz w:val="22"/>
          <w:szCs w:val="22"/>
        </w:rPr>
        <w:t xml:space="preserve">(2) 評価結果の状況</w:t>
      </w:r>
    </w:p>
    <w:p>
      <w:pPr>
        <w:spacing w:after="120" w:line="300"/>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pPr>
      <w:r>
        <w:rPr>
          <w:rFonts w:ascii="游ゴシック" w:cs="游ゴシック" w:eastAsia="游ゴシック" w:hAnsi="游ゴシック"/>
          <w:b/>
          <w:bCs/>
          <w:color w:val="2E75B6"/>
          <w:sz w:val="22"/>
          <w:szCs w:val="22"/>
        </w:rPr>
        <w:t xml:space="preserve">保険料基準額の見通し（αの2案）</w:t>
      </w:r>
    </w:p>
    <w:p>
      <w:pPr>
        <w:spacing w:after="120" w:line="300"/>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老人福祉事業（在宅）の量　配食・緊急通報・除雪支援・移動支援・家族介護者リフレッシュ・介護用品の支給・高齢者教室・シルバー人材センター・老人クラブ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実績・目標とも空欄（9事業）</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村単独事業の実績</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pPr>
      <w:r>
        <w:rPr>
          <w:rFonts w:ascii="游ゴシック" w:cs="游ゴシック" w:eastAsia="游ゴシック" w:hAnsi="游ゴシック"/>
          <w:b/>
          <w:bCs/>
          <w:color w:val="2E75B6"/>
          <w:sz w:val="22"/>
          <w:szCs w:val="22"/>
        </w:rPr>
        <w:t xml:space="preserve">残る61点の扱い</w:t>
      </w:r>
    </w:p>
    <w:p>
      <w:pPr>
        <w:spacing w:after="120" w:line="300"/>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pPr>
      <w:r>
        <w:rPr>
          <w:rFonts w:ascii="游ゴシック" w:cs="游ゴシック" w:eastAsia="游ゴシック" w:hAnsi="游ゴシック"/>
          <w:b/>
          <w:bCs/>
          <w:color w:val="2E75B6"/>
          <w:sz w:val="22"/>
          <w:szCs w:val="22"/>
        </w:rPr>
        <w:t xml:space="preserve">給付適正化と交付金評価の進捗管理</w:t>
      </w:r>
    </w:p>
    <w:p>
      <w:pPr>
        <w:spacing w:after="120" w:line="300"/>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pPr>
      <w:r>
        <w:rPr>
          <w:rFonts w:ascii="游ゴシック" w:cs="游ゴシック" w:eastAsia="游ゴシック" w:hAnsi="游ゴシック"/>
          <w:b/>
          <w:bCs/>
          <w:color w:val="2E75B6"/>
          <w:sz w:val="22"/>
          <w:szCs w:val="22"/>
        </w:rPr>
        <w:t xml:space="preserve">見直しの目安</w:t>
      </w:r>
    </w:p>
    <w:p>
      <w:pPr>
        <w:spacing w:after="120" w:line="300"/>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ゴシック" w:cs="游ゴシック" w:eastAsia="游ゴシック" w:hAnsi="游ゴシック"/>
          <w:sz w:val="21"/>
          <w:szCs w:val="21"/>
        </w:rPr>
        <w:t xml:space="preserve"/>
      </w:r>
    </w:p>
    <w:p>
      <w:pPr>
        <w:spacing w:after="120" w:line="300"/>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pPr>
      <w:r>
        <w:rPr>
          <w:rFonts w:ascii="游ゴシック" w:cs="游ゴシック" w:eastAsia="游ゴシック" w:hAnsi="游ゴシック"/>
          <w:b/>
          <w:bCs/>
          <w:color w:val="2E75B6"/>
          <w:sz w:val="22"/>
          <w:szCs w:val="22"/>
        </w:rPr>
        <w:t xml:space="preserve">設置の根拠</w:t>
      </w:r>
    </w:p>
    <w:p>
      <w:pPr>
        <w:spacing w:after="120" w:line="300"/>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621"/>
        <w:gridCol w:w="2059"/>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確認すべき指標・状況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本計画の該当箇所</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1-5、1-8の4、2-1、施策2-1、施策2-6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二</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2-1、2-5、2-8、6-3、施策4-3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四</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2-3、2-8、2-9、5-3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五</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2-4、2-5、5-4、5-8(4)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5-4、5-5、2-10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2-5、5-4(8)、5-4(12)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1-8の1、4-6、5-4(1)、施策2-3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2-6、2-8、5-5、施策1-1、施策1-2、施策4-1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2-5、施策4-3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十一</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2-3、4-7、施策4-4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対応</w:t>
            </w:r>
          </w:p>
        </w:tc>
      </w:tr>
    </w:tbl>
    <w:p>
      <w:pPr>
        <w:spacing w:after="160" w:line="300"/>
      </w:pPr>
      <w:r>
        <w:rPr>
          <w:rFonts w:ascii="游ゴシック" w:cs="游ゴシック" w:eastAsia="游ゴシック" w:hAnsi="游ゴシック"/>
          <w:sz w:val="21"/>
          <w:szCs w:val="21"/>
        </w:rPr>
        <w:t xml:space="preserve"/>
      </w:r>
    </w:p>
    <w:p>
      <w:pPr>
        <w:keepNext/>
        <w:keepLines/>
        <w:spacing w:after="100" w:line="300"/>
      </w:pPr>
      <w:r>
        <w:rPr>
          <w:rFonts w:ascii="游ゴシック" w:cs="游ゴシック" w:eastAsia="游ゴシック" w:hAnsi="游ゴシック"/>
          <w:b/>
          <w:bCs/>
          <w:color w:val="2E75B6"/>
          <w:sz w:val="22"/>
          <w:szCs w:val="22"/>
        </w:rPr>
        <w:t xml:space="preserve">一部の対応にとどまっている事項</w:t>
      </w:r>
    </w:p>
    <w:p>
      <w:pPr>
        <w:spacing w:after="120" w:line="300"/>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pPr>
      <w:r>
        <w:rPr>
          <w:rFonts w:ascii="游ゴシック" w:cs="游ゴシック" w:eastAsia="游ゴシック" w:hAnsi="游ゴシック"/>
          <w:sz w:val="21"/>
          <w:szCs w:val="21"/>
        </w:rPr>
        <w:t xml:space="preserve"/>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2026-10-10T00:03:23.980Z</dcterms:created>
  <dcterms:modified xsi:type="dcterms:W3CDTF">2026-10-10T00:03:23.980Z</dcterms:modified>
</cp:coreProperties>
</file>

<file path=docProps/custom.xml><?xml version="1.0" encoding="utf-8"?>
<Properties xmlns="http://schemas.openxmlformats.org/officeDocument/2006/custom-properties" xmlns:vt="http://schemas.openxmlformats.org/officeDocument/2006/docPropsVTypes"/>
</file>