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明朝" w:cs="游明朝" w:eastAsia="游明朝" w:hAnsi="游明朝"/>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明朝" w:cs="游明朝" w:eastAsia="游明朝" w:hAnsi="游明朝"/>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県平均・県内順位は福島県内59市町村、全国順位は全国1,741市町村の中での位置です。各目標の配点はいずれも100点です。</w:t>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施策体系の対応表</w:t>
      </w:r>
    </w:p>
    <w:p>
      <w:pPr>
        <w:spacing w:after="120" w:line="300"/>
      </w:pPr>
      <w:r>
        <w:rPr>
          <w:rFonts w:ascii="游明朝" w:cs="游明朝" w:eastAsia="游明朝" w:hAnsi="游明朝"/>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難聴が認知症の危険因子とされたことを踏まえ、健診等の機会を通じた難聴の早期発見と、補聴器等による早期介入の仕組みを検討します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第1号被保険者数が1,012人から987人へ2.5%減るにもかかわらず、認定者数は214人から220人へ6人（2.8%）増えます。後期高齢者の割合が高まるためです。認定率は21.1%から22.3%へ1.2ポイント上がり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利用率の分母</w:t>
      </w:r>
    </w:p>
    <w:p>
      <w:pPr>
        <w:spacing w:after="120" w:line="300"/>
      </w:pPr>
      <w:r>
        <w:rPr>
          <w:rFonts w:ascii="游明朝" w:cs="游明朝" w:eastAsia="游明朝" w:hAnsi="游明朝"/>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明朝" w:cs="游明朝" w:eastAsia="游明朝" w:hAnsi="游明朝"/>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算定は scripts/verify_bunbo.py により、data/第10期_利用率の分母の検算.csv に出力しています。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供給の制約</w:t>
      </w:r>
    </w:p>
    <w:p>
      <w:pPr>
        <w:spacing w:after="120" w:line="300"/>
      </w:pPr>
      <w:r>
        <w:rPr>
          <w:rFonts w:ascii="游明朝" w:cs="游明朝" w:eastAsia="游明朝" w:hAnsi="游明朝"/>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明朝" w:cs="游明朝" w:eastAsia="游明朝" w:hAnsi="游明朝"/>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算定は scripts/estimate_supply.py により、data/第10期_村内定員の到達率.csv に出力しています。</w:t>
      </w:r>
    </w:p>
    <w:p>
      <w:pPr>
        <w:spacing w:after="100" w:line="300"/>
      </w:pPr>
      <w:r>
        <w:rPr>
          <w:rFonts w:ascii="游ゴシック" w:cs="游ゴシック" w:eastAsia="游ゴシック" w:hAnsi="游ゴシック"/>
          <w:b/>
          <w:bCs/>
          <w:color w:val="2E75B6"/>
          <w:sz w:val="21"/>
          <w:szCs w:val="21"/>
        </w:rPr>
        <w:t xml:space="preserve">(6)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算定は scripts/check_warning.py により、data/第10期_見込量の自己点検.csv に出力しています。</w:t>
      </w:r>
    </w:p>
    <w:p>
      <w:pPr>
        <w:spacing w:after="100" w:line="300"/>
      </w:pPr>
      <w:r>
        <w:rPr>
          <w:rFonts w:ascii="游ゴシック" w:cs="游ゴシック" w:eastAsia="游ゴシック" w:hAnsi="游ゴシック"/>
          <w:b/>
          <w:bCs/>
          <w:color w:val="2E75B6"/>
          <w:sz w:val="21"/>
          <w:szCs w:val="21"/>
        </w:rPr>
        <w:t xml:space="preserve">(7)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(8)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1"/>
          <w:szCs w:val="21"/>
        </w:rPr>
        <w:t xml:space="preserve">(10)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2.62%）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算定の過程は scripts/price_trend.py および scripts/backtest_growth.py に記録しています。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算定は scripts/estimate_kyufu_split.py により、data/第10期_介護給付費_予防給付費の分離.csv に出力しています。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年度別の保険料収納必要額</w:t>
      </w:r>
    </w:p>
    <w:p>
      <w:pPr>
        <w:spacing w:after="120" w:line="300"/>
      </w:pPr>
      <w:r>
        <w:rPr>
          <w:rFonts w:ascii="游明朝" w:cs="游明朝" w:eastAsia="游明朝" w:hAnsi="游明朝"/>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単位：千円（第1号被保険者数・分母・月額を除く）　第1号被保険者負担割合23%・基金の取崩しなしの場合です。</w:t>
      </w:r>
    </w:p>
    <w:p>
      <w:pPr>
        <w:spacing w:after="120" w:line="300"/>
      </w:pPr>
      <w:r>
        <w:rPr>
          <w:rFonts w:ascii="游明朝" w:cs="游明朝" w:eastAsia="游明朝" w:hAnsi="游明朝"/>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算出は scripts/estimate_premium.py により、data/第10期_保険料の年度別必要額.csv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算定の過程は scripts/estimate_longterm.py に記録しています。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2026-09-25T01:43:11.397Z</dcterms:created>
  <dcterms:modified xsi:type="dcterms:W3CDTF">2026-09-25T01:43:11.412Z</dcterms:modified>
</cp:coreProperties>
</file>

<file path=docProps/custom.xml><?xml version="1.0" encoding="utf-8"?>
<Properties xmlns="http://schemas.openxmlformats.org/officeDocument/2006/custom-properties" xmlns:vt="http://schemas.openxmlformats.org/officeDocument/2006/docPropsVTypes"/>
</file>