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素案（第7版）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8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8">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2"/>
        <w:gridCol w:w="7219"/>
      </w:tblGrid>
      <w:tr>
        <w:tc>
          <w:tcPr>
            <w:tcW w:type="dxa" w:w="25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2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532"/>
            <w:vAlign w:val="center"/>
          </w:tcPr>
          <w:p>
            <w:pPr>
              <w:spacing w:before="20" w:after="20"/>
            </w:pPr>
            <w:r>
              <w:rPr>
                <w:rFonts w:ascii="游ゴシック" w:hAnsi="游ゴシック" w:eastAsia="游ゴシック"/>
                <w:b w:val="0"/>
                <w:i w:val="0"/>
                <w:sz w:val="17"/>
              </w:rPr>
              <w:t>計画期間</w:t>
            </w:r>
          </w:p>
        </w:tc>
        <w:tc>
          <w:tcPr>
            <w:tcW w:type="dxa" w:w="7219"/>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532"/>
            <w:vAlign w:val="center"/>
          </w:tcPr>
          <w:p>
            <w:pPr>
              <w:spacing w:before="20" w:after="20"/>
            </w:pPr>
            <w:r>
              <w:rPr>
                <w:rFonts w:ascii="游ゴシック" w:hAnsi="游ゴシック" w:eastAsia="游ゴシック"/>
                <w:b w:val="0"/>
                <w:i w:val="0"/>
                <w:sz w:val="17"/>
              </w:rPr>
              <w:t>位置づけ</w:t>
            </w:r>
          </w:p>
        </w:tc>
        <w:tc>
          <w:tcPr>
            <w:tcW w:type="dxa" w:w="7219"/>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32"/>
            <w:vAlign w:val="center"/>
          </w:tcPr>
          <w:p>
            <w:pPr>
              <w:spacing w:before="20" w:after="20"/>
            </w:pPr>
            <w:r>
              <w:rPr>
                <w:rFonts w:ascii="游ゴシック" w:hAnsi="游ゴシック" w:eastAsia="游ゴシック"/>
                <w:b w:val="0"/>
                <w:i w:val="0"/>
                <w:sz w:val="17"/>
              </w:rPr>
              <w:t>第1版からの変更</w:t>
            </w:r>
          </w:p>
        </w:tc>
        <w:tc>
          <w:tcPr>
            <w:tcW w:type="dxa" w:w="7219"/>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32"/>
            <w:vAlign w:val="center"/>
          </w:tcPr>
          <w:p>
            <w:pPr>
              <w:spacing w:before="20" w:after="20"/>
            </w:pPr>
            <w:r>
              <w:rPr>
                <w:rFonts w:ascii="游ゴシック" w:hAnsi="游ゴシック" w:eastAsia="游ゴシック"/>
                <w:b/>
                <w:i w:val="0"/>
                <w:sz w:val="17"/>
              </w:rPr>
              <w:t>本版（第7版・令和8年9月29日）の変更</w:t>
            </w:r>
          </w:p>
        </w:tc>
        <w:tc>
          <w:tcPr>
            <w:tcW w:type="dxa" w:w="7219"/>
            <w:vAlign w:val="center"/>
          </w:tcPr>
          <w:p>
            <w:pPr>
              <w:spacing w:before="20" w:after="20"/>
            </w:pPr>
            <w:r>
              <w:rPr>
                <w:rFonts w:ascii="游ゴシック" w:hAnsi="游ゴシック" w:eastAsia="游ゴシック"/>
                <w:b/>
                <w:i w:val="0"/>
                <w:sz w:val="17"/>
              </w:rPr>
              <w:t>町からお預かりした令和7年度調査結果報告書の原本（104頁）と、本素案に載せている集計値を1件ずつ突き合わせた。</w:t>
            </w:r>
            <w:r>
              <w:rPr>
                <w:rFonts w:ascii="游ゴシック" w:hAnsi="游ゴシック" w:eastAsia="游ゴシック"/>
                <w:b/>
                <w:i w:val="0"/>
                <w:sz w:val="17"/>
              </w:rPr>
              <w:t>第2章2及び第5章 基本目標2③ の認知症の設問の項目名を訂正している（54.1％は「相談窓口の充実」ではなく「地域での見守りや声掛け」）。</w:t>
            </w:r>
            <w:r>
              <w:rPr>
                <w:rFonts w:ascii="游ゴシック" w:hAnsi="游ゴシック" w:eastAsia="游ゴシック"/>
                <w:b w:val="0"/>
                <w:i w:val="0"/>
                <w:sz w:val="17"/>
              </w:rPr>
              <w:t>その他の値はすべて原本と一致した</w:t>
            </w:r>
          </w:p>
        </w:tc>
      </w:tr>
      <w:tr>
        <w:tc>
          <w:tcPr>
            <w:tcW w:type="dxa" w:w="2532"/>
            <w:vAlign w:val="center"/>
          </w:tcPr>
          <w:p>
            <w:pPr>
              <w:spacing w:before="20" w:after="20"/>
            </w:pPr>
            <w:r>
              <w:rPr>
                <w:rFonts w:ascii="游ゴシック" w:hAnsi="游ゴシック" w:eastAsia="游ゴシック"/>
                <w:b w:val="0"/>
                <w:i w:val="0"/>
                <w:sz w:val="17"/>
              </w:rPr>
              <w:t>確定していない事項の表示</w:t>
            </w:r>
          </w:p>
        </w:tc>
        <w:tc>
          <w:tcPr>
            <w:tcW w:type="dxa" w:w="7219"/>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本素案には確定していない箇所が133あります。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25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町からのデータ受領を待っているのは59箇所（44.4％）で、最も多いのは協議会で設定する成果指標の目標値55箇所（41.4％）です。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41.4％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59</w:t>
            </w:r>
          </w:p>
        </w:tc>
        <w:tc>
          <w:tcPr>
            <w:tcW w:type="dxa" w:w="1314"/>
            <w:vAlign w:val="center"/>
          </w:tcPr>
          <w:p>
            <w:pPr>
              <w:spacing w:before="20" w:after="20"/>
            </w:pPr>
            <w:r>
              <w:rPr>
                <w:rFonts w:ascii="游ゴシック" w:hAnsi="游ゴシック" w:eastAsia="游ゴシック"/>
                <w:b/>
                <w:i w:val="0"/>
                <w:sz w:val="17"/>
              </w:rPr>
              <w:t>44.4％</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9.8％</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4.5％</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地域密着型サービスの必要利用定員総数（第5章 基本目標3②）も、町全域を1つの区域として定めます。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本章では、基本目標ごとに、現状と課題、施策の方向、主な事業、成果指標を示します。成果指標の目標値は、認定者数及び事業実績の確定後に協議会で設定します（【協議会で設定】）。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【図2】認知症施策の体制と活動</w:t>
      </w:r>
    </w:p>
    <w:p>
      <w:pPr>
        <w:keepNext/>
        <w:spacing w:before="0" w:after="40"/>
        <w:jc w:val="center"/>
      </w:pPr>
      <w:r>
        <w:drawing>
          <wp:inline xmlns:a="http://schemas.openxmlformats.org/drawingml/2006/main" xmlns:pic="http://schemas.openxmlformats.org/drawingml/2006/picture">
            <wp:extent cx="5400000" cy="2751266"/>
            <wp:docPr id="2" name="Picture 2"/>
            <wp:cNvGraphicFramePr>
              <a:graphicFrameLocks noChangeAspect="1"/>
            </wp:cNvGraphicFramePr>
            <a:graphic>
              <a:graphicData uri="http://schemas.openxmlformats.org/drawingml/2006/picture">
                <pic:pic>
                  <pic:nvPicPr>
                    <pic:cNvPr id="0" name="f47_ninchisho.png"/>
                    <pic:cNvPicPr/>
                  </pic:nvPicPr>
                  <pic:blipFill>
                    <a:blip r:embed="rId14"/>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spacing w:after="120"/>
      </w:pPr>
    </w:p>
    <w:p>
      <w:pPr>
        <w:spacing w:before="60" w:after="60"/>
      </w:pPr>
      <w:r>
        <w:rPr>
          <w:rFonts w:ascii="游ゴシック" w:hAnsi="游ゴシック" w:eastAsia="游ゴシック"/>
          <w:b w:val="0"/>
          <w:i w:val="0"/>
          <w:sz w:val="21"/>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游ゴシック" w:hAnsi="游ゴシック" w:eastAsia="游ゴシック"/>
          <w:b w:val="0"/>
          <w:i w:val="0"/>
          <w:sz w:val="21"/>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【図3】第10期の総給付費の見込み（区分別）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3" name="Picture 3"/>
            <wp:cNvGraphicFramePr>
              <a:graphicFrameLocks noChangeAspect="1"/>
            </wp:cNvGraphicFramePr>
            <a:graphic>
              <a:graphicData uri="http://schemas.openxmlformats.org/drawingml/2006/picture">
                <pic:pic>
                  <pic:nvPicPr>
                    <pic:cNvPr id="0" name="f23_kubun.png"/>
                    <pic:cNvPicPr/>
                  </pic:nvPicPr>
                  <pic:blipFill>
                    <a:blip r:embed="rId15"/>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spacing w:after="120"/>
      </w:pPr>
    </w:p>
    <w:p>
      <w:pPr>
        <w:spacing w:before="60" w:after="60"/>
      </w:pPr>
      <w:r>
        <w:rPr>
          <w:rFonts w:ascii="游ゴシック" w:hAnsi="游ゴシック" w:eastAsia="游ゴシック"/>
          <w:b w:val="0"/>
          <w:i w:val="0"/>
          <w:sz w:val="21"/>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【図4】保険料基準額の選択肢（100円未満切上げ後）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4" name="Picture 4"/>
            <wp:cNvGraphicFramePr>
              <a:graphicFrameLocks noChangeAspect="1"/>
            </wp:cNvGraphicFramePr>
            <a:graphic>
              <a:graphicData uri="http://schemas.openxmlformats.org/drawingml/2006/picture">
                <pic:pic>
                  <pic:nvPicPr>
                    <pic:cNvPr id="0" name="f08_hokenryo.png"/>
                    <pic:cNvPicPr/>
                  </pic:nvPicPr>
                  <pic:blipFill>
                    <a:blip r:embed="rId16"/>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4" w:name="_Toc_034"/>
      <w:r>
        <w:rPr>
          <w:rFonts w:ascii="游ゴシック" w:hAnsi="游ゴシック" w:eastAsia="游ゴシック"/>
          <w:b/>
          <w:i w:val="0"/>
          <w:color w:val="2E74B5"/>
          <w:sz w:val="25"/>
        </w:rPr>
        <w:t>6　人材の供給制約からみた見込量の妥当性</w:t>
      </w:r>
      <w:bookmarkEnd w:id="134"/>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35" w:name="_Toc_035"/>
      <w:r>
        <w:rPr>
          <w:rFonts w:ascii="游ゴシック" w:hAnsi="游ゴシック" w:eastAsia="游ゴシック"/>
          <w:b/>
          <w:i w:val="0"/>
          <w:color w:val="2E74B5"/>
          <w:sz w:val="25"/>
        </w:rPr>
        <w:t>7　見える化システムによる算定との突合</w:t>
      </w:r>
      <w:bookmarkEnd w:id="135"/>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36" w:name="_Toc_036"/>
      <w:r>
        <w:rPr>
          <w:rFonts w:ascii="游ゴシック" w:hAnsi="游ゴシック" w:eastAsia="游ゴシック"/>
          <w:b/>
          <w:i w:val="0"/>
          <w:color w:val="2E74B5"/>
          <w:sz w:val="25"/>
        </w:rPr>
        <w:t>8　介護施設整備に係る基本方針</w:t>
      </w:r>
      <w:bookmarkEnd w:id="136"/>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認知症対応型共同生活介護の必要利用定員総数は、現に稼働している定員を前提としています（第5章 基本目標3②）。</w:t>
      </w:r>
    </w:p>
    <w:p>
      <w:pPr>
        <w:keepNext/>
        <w:spacing w:before="180" w:after="100"/>
      </w:pPr>
      <w:bookmarkStart w:id="137" w:name="_Toc_037"/>
      <w:r>
        <w:rPr>
          <w:rFonts w:ascii="游ゴシック" w:hAnsi="游ゴシック" w:eastAsia="游ゴシック"/>
          <w:b/>
          <w:i w:val="0"/>
          <w:color w:val="2E74B5"/>
          <w:sz w:val="25"/>
        </w:rPr>
        <w:t>9　低所得者支援</w:t>
      </w:r>
      <w:bookmarkEnd w:id="137"/>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r>
        <w:br w:type="page"/>
      </w:r>
    </w:p>
    <w:p>
      <w:pPr>
        <w:keepNext/>
        <w:spacing w:before="240" w:after="100"/>
      </w:pPr>
      <w:bookmarkStart w:id="138" w:name="_Toc_038"/>
      <w:r>
        <w:rPr>
          <w:rFonts w:ascii="游ゴシック" w:hAnsi="游ゴシック" w:eastAsia="游ゴシック"/>
          <w:b/>
          <w:i w:val="0"/>
          <w:color w:val="2E74B5"/>
          <w:sz w:val="30"/>
        </w:rPr>
        <w:t>資料編</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bl>
    <w:p>
      <w:pPr>
        <w:spacing w:after="40"/>
      </w:pPr>
    </w:p>
    <w:p>
      <w:pPr>
        <w:keepNext/>
        <w:spacing w:before="180" w:after="100"/>
      </w:pPr>
      <w:bookmarkStart w:id="139" w:name="_Toc_039"/>
      <w:r>
        <w:rPr>
          <w:rFonts w:ascii="游ゴシック" w:hAnsi="游ゴシック" w:eastAsia="游ゴシック"/>
          <w:b/>
          <w:i w:val="0"/>
          <w:color w:val="2E74B5"/>
          <w:sz w:val="25"/>
        </w:rPr>
        <w:t>8　成果指標の定義</w:t>
      </w:r>
      <w:bookmarkEnd w:id="139"/>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0" w:name="_Toc_040"/>
      <w:r>
        <w:rPr>
          <w:rFonts w:ascii="游ゴシック" w:hAnsi="游ゴシック" w:eastAsia="游ゴシック"/>
          <w:b/>
          <w:i w:val="0"/>
          <w:color w:val="2E74B5"/>
          <w:sz w:val="25"/>
        </w:rPr>
        <w:t>9　年次評価の様式</w:t>
      </w:r>
      <w:bookmarkEnd w:id="140"/>
    </w:p>
    <w:p>
      <w:pPr>
        <w:spacing w:before="60" w:after="60"/>
      </w:pPr>
      <w:r>
        <w:rPr>
          <w:rFonts w:ascii="游ゴシック" w:hAnsi="游ゴシック" w:eastAsia="游ゴシック"/>
          <w:b/>
          <w:i w:val="0"/>
          <w:sz w:val="21"/>
        </w:rPr>
        <w:t>毎年度、次の様式により達成状況を記入し、協議会に報告します。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1" w:name="_Toc_041"/>
      <w:r>
        <w:rPr>
          <w:rFonts w:ascii="游ゴシック" w:hAnsi="游ゴシック" w:eastAsia="游ゴシック"/>
          <w:b/>
          <w:i w:val="0"/>
          <w:color w:val="2E74B5"/>
          <w:sz w:val="25"/>
        </w:rPr>
        <w:t>10　施策の見直しの基準</w:t>
      </w:r>
      <w:bookmarkEnd w:id="141"/>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2" w:name="_Toc_042"/>
      <w:r>
        <w:rPr>
          <w:rFonts w:ascii="游ゴシック" w:hAnsi="游ゴシック" w:eastAsia="游ゴシック"/>
          <w:b/>
          <w:i w:val="0"/>
          <w:color w:val="2E74B5"/>
          <w:sz w:val="25"/>
        </w:rPr>
        <w:t>11　主な参照資料</w:t>
      </w:r>
      <w:bookmarkEnd w:id="14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r>
        <w:br w:type="page"/>
      </w:r>
    </w:p>
    <w:p>
      <w:pPr>
        <w:keepNext/>
        <w:spacing w:before="240" w:after="100"/>
      </w:pPr>
      <w:bookmarkStart w:id="143" w:name="_Toc_043"/>
      <w:r>
        <w:rPr>
          <w:rFonts w:ascii="游ゴシック" w:hAnsi="游ゴシック" w:eastAsia="游ゴシック"/>
          <w:b/>
          <w:i w:val="0"/>
          <w:color w:val="2E74B5"/>
          <w:sz w:val="30"/>
        </w:rPr>
        <w:t>参考　本素案の確定に必要な事項</w:t>
      </w:r>
      <w:bookmarkEnd w:id="143"/>
    </w:p>
    <w:p>
      <w:pPr>
        <w:spacing w:before="60" w:after="60"/>
      </w:pPr>
      <w:r>
        <w:rPr>
          <w:rFonts w:ascii="游ゴシック" w:hAnsi="游ゴシック" w:eastAsia="游ゴシック"/>
          <w:b w:val="0"/>
          <w:i w:val="0"/>
          <w:sz w:val="21"/>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