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令和8年9月29日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出席者（受託者）</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いただきたい資料（21件）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spacing w:before="20" w:after="20"/>
            </w:pPr>
            <w:r>
              <w:rPr>
                <w:rFonts w:ascii="游ゴシック" w:hAnsi="游ゴシック" w:eastAsia="游ゴシック"/>
                <w:b w:val="0"/>
                <w:i w:val="0"/>
                <w:sz w:val="17"/>
              </w:rPr>
              <w:t>7</w:t>
            </w:r>
          </w:p>
        </w:tc>
        <w:tc>
          <w:tcPr>
            <w:tcW w:type="dxa" w:w="2562"/>
            <w:vAlign w:val="center"/>
          </w:tcPr>
          <w:p>
            <w:pPr>
              <w:spacing w:before="20" w:after="20"/>
            </w:pPr>
            <w:r>
              <w:rPr>
                <w:rFonts w:ascii="游ゴシック" w:hAnsi="游ゴシック" w:eastAsia="游ゴシック"/>
                <w:b w:val="0"/>
                <w:i w:val="0"/>
                <w:sz w:val="17"/>
              </w:rPr>
              <w:t>今後の工程</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10</w:t>
            </w:r>
          </w:p>
        </w:tc>
        <w:tc>
          <w:tcPr>
            <w:tcW w:type="dxa" w:w="4786"/>
            <w:vAlign w:val="center"/>
          </w:tcPr>
          <w:p>
            <w:pPr>
              <w:spacing w:before="20" w:after="20"/>
            </w:pPr>
            <w:r>
              <w:rPr>
                <w:rFonts w:ascii="游ゴシック" w:hAnsi="游ゴシック" w:eastAsia="游ゴシック"/>
                <w:b/>
                <w:i w:val="0"/>
                <w:sz w:val="17"/>
              </w:rPr>
              <w:t>ケアプラン点検の点検件数の目標</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0"/>
        <w:gridCol w:w="5302"/>
        <w:gridCol w:w="2820"/>
      </w:tblGrid>
      <w:tr>
        <w:tc>
          <w:tcPr>
            <w:tcW w:type="dxa" w:w="163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820"/>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30"/>
            <w:vAlign w:val="center"/>
          </w:tcPr>
          <w:p>
            <w:pPr>
              <w:spacing w:before="20" w:after="20"/>
            </w:pPr>
            <w:r>
              <w:rPr>
                <w:rFonts w:ascii="游ゴシック" w:hAnsi="游ゴシック" w:eastAsia="游ゴシック"/>
                <w:b w:val="0"/>
                <w:i w:val="0"/>
                <w:sz w:val="17"/>
              </w:rPr>
              <w:t>1</w:t>
            </w:r>
          </w:p>
        </w:tc>
        <w:tc>
          <w:tcPr>
            <w:tcW w:type="dxa" w:w="5302"/>
            <w:vAlign w:val="center"/>
          </w:tcPr>
          <w:p>
            <w:pPr>
              <w:spacing w:before="20" w:after="20"/>
            </w:pPr>
            <w:r>
              <w:rPr>
                <w:rFonts w:ascii="游ゴシック" w:hAnsi="游ゴシック" w:eastAsia="游ゴシック"/>
                <w:b/>
                <w:i w:val="0"/>
                <w:sz w:val="17"/>
              </w:rPr>
              <w:t>介護給付費準備基金の運用状況調書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w:t>
            </w:r>
          </w:p>
        </w:tc>
        <w:tc>
          <w:tcPr>
            <w:tcW w:type="dxa" w:w="5302"/>
            <w:vAlign w:val="center"/>
          </w:tcPr>
          <w:p>
            <w:pPr>
              <w:spacing w:before="20" w:after="20"/>
            </w:pPr>
            <w:r>
              <w:rPr>
                <w:rFonts w:ascii="游ゴシック" w:hAnsi="游ゴシック" w:eastAsia="游ゴシック"/>
                <w:b/>
                <w:i w:val="0"/>
                <w:sz w:val="17"/>
              </w:rPr>
              <w:t>令和7年度の介護保険特別会計決算</w:t>
            </w:r>
          </w:p>
        </w:tc>
        <w:tc>
          <w:tcPr>
            <w:tcW w:type="dxa" w:w="2820"/>
            <w:vAlign w:val="center"/>
          </w:tcPr>
          <w:p>
            <w:pPr>
              <w:spacing w:before="20" w:after="20"/>
            </w:pPr>
            <w:r>
              <w:rPr>
                <w:rFonts w:ascii="游ゴシック" w:hAnsi="游ゴシック" w:eastAsia="游ゴシック"/>
                <w:b/>
                <w:i w:val="0"/>
                <w:sz w:val="17"/>
              </w:rPr>
              <w:t>決算確定後すぐ</w:t>
            </w:r>
          </w:p>
        </w:tc>
      </w:tr>
      <w:tr>
        <w:tc>
          <w:tcPr>
            <w:tcW w:type="dxa" w:w="1630"/>
            <w:vAlign w:val="center"/>
          </w:tcPr>
          <w:p>
            <w:pPr>
              <w:spacing w:before="20" w:after="20"/>
            </w:pPr>
            <w:r>
              <w:rPr>
                <w:rFonts w:ascii="游ゴシック" w:hAnsi="游ゴシック" w:eastAsia="游ゴシック"/>
                <w:b w:val="0"/>
                <w:i w:val="0"/>
                <w:sz w:val="17"/>
              </w:rPr>
              <w:t>3</w:t>
            </w:r>
          </w:p>
        </w:tc>
        <w:tc>
          <w:tcPr>
            <w:tcW w:type="dxa" w:w="53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4</w:t>
            </w:r>
          </w:p>
        </w:tc>
        <w:tc>
          <w:tcPr>
            <w:tcW w:type="dxa" w:w="5302"/>
            <w:vAlign w:val="center"/>
          </w:tcPr>
          <w:p>
            <w:pPr>
              <w:spacing w:before="20" w:after="20"/>
            </w:pPr>
            <w:r>
              <w:rPr>
                <w:rFonts w:ascii="游ゴシック" w:hAnsi="游ゴシック" w:eastAsia="游ゴシック"/>
                <w:b/>
                <w:i w:val="0"/>
                <w:sz w:val="17"/>
              </w:rPr>
              <w:t>地域支援事業費の事業別内訳</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5</w:t>
            </w:r>
          </w:p>
        </w:tc>
        <w:tc>
          <w:tcPr>
            <w:tcW w:type="dxa" w:w="5302"/>
            <w:vAlign w:val="center"/>
          </w:tcPr>
          <w:p>
            <w:pPr>
              <w:spacing w:before="20" w:after="20"/>
            </w:pPr>
            <w:r>
              <w:rPr>
                <w:rFonts w:ascii="游ゴシック" w:hAnsi="游ゴシック" w:eastAsia="游ゴシック"/>
                <w:b/>
                <w:i w:val="0"/>
                <w:sz w:val="17"/>
              </w:rPr>
              <w:t>総合事業の実施状況</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6</w:t>
            </w:r>
          </w:p>
        </w:tc>
        <w:tc>
          <w:tcPr>
            <w:tcW w:type="dxa" w:w="5302"/>
            <w:vAlign w:val="center"/>
          </w:tcPr>
          <w:p>
            <w:pPr>
              <w:spacing w:before="20" w:after="20"/>
            </w:pPr>
            <w:r>
              <w:rPr>
                <w:rFonts w:ascii="游ゴシック" w:hAnsi="游ゴシック" w:eastAsia="游ゴシック"/>
                <w:b w:val="0"/>
                <w:i w:val="0"/>
                <w:sz w:val="17"/>
              </w:rPr>
              <w:t>成果指標の現状値 17項目</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7</w:t>
            </w:r>
          </w:p>
        </w:tc>
        <w:tc>
          <w:tcPr>
            <w:tcW w:type="dxa" w:w="53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8</w:t>
            </w:r>
          </w:p>
        </w:tc>
        <w:tc>
          <w:tcPr>
            <w:tcW w:type="dxa" w:w="5302"/>
            <w:vAlign w:val="center"/>
          </w:tcPr>
          <w:p>
            <w:pPr>
              <w:spacing w:before="20" w:after="20"/>
            </w:pPr>
            <w:r>
              <w:rPr>
                <w:rFonts w:ascii="游ゴシック" w:hAnsi="游ゴシック" w:eastAsia="游ゴシック"/>
                <w:b/>
                <w:i w:val="0"/>
                <w:sz w:val="17"/>
              </w:rPr>
              <w:t>総合事業上限額算定の手引き（Excel）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9</w:t>
            </w:r>
          </w:p>
        </w:tc>
        <w:tc>
          <w:tcPr>
            <w:tcW w:type="dxa" w:w="5302"/>
            <w:vAlign w:val="center"/>
          </w:tcPr>
          <w:p>
            <w:pPr>
              <w:spacing w:before="20" w:after="20"/>
            </w:pPr>
            <w:r>
              <w:rPr>
                <w:rFonts w:ascii="游ゴシック" w:hAnsi="游ゴシック" w:eastAsia="游ゴシック"/>
                <w:b/>
                <w:i w:val="0"/>
                <w:sz w:val="17"/>
              </w:rPr>
              <w:t>地域支援事業交付金事業実績報告書（Excel）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10</w:t>
            </w:r>
          </w:p>
        </w:tc>
        <w:tc>
          <w:tcPr>
            <w:tcW w:type="dxa" w:w="53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11</w:t>
            </w:r>
          </w:p>
        </w:tc>
        <w:tc>
          <w:tcPr>
            <w:tcW w:type="dxa" w:w="5302"/>
            <w:vAlign w:val="center"/>
          </w:tcPr>
          <w:p>
            <w:pPr>
              <w:spacing w:before="20" w:after="20"/>
            </w:pPr>
            <w:r>
              <w:rPr>
                <w:rFonts w:ascii="游ゴシック" w:hAnsi="游ゴシック" w:eastAsia="游ゴシック"/>
                <w:b/>
                <w:i w:val="0"/>
                <w:sz w:val="17"/>
              </w:rPr>
              <w:t>令和6年度のケアプラン点検の実施件数</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12</w:t>
            </w:r>
          </w:p>
        </w:tc>
        <w:tc>
          <w:tcPr>
            <w:tcW w:type="dxa" w:w="5302"/>
            <w:vAlign w:val="center"/>
          </w:tcPr>
          <w:p>
            <w:pPr>
              <w:spacing w:before="20" w:after="20"/>
            </w:pPr>
            <w:r>
              <w:rPr>
                <w:rFonts w:ascii="游ゴシック" w:hAnsi="游ゴシック" w:eastAsia="游ゴシック"/>
                <w:b/>
                <w:i w:val="0"/>
                <w:sz w:val="17"/>
              </w:rPr>
              <w:t>要介護認定の適正化の実施の内容</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13</w:t>
            </w:r>
          </w:p>
        </w:tc>
        <w:tc>
          <w:tcPr>
            <w:tcW w:type="dxa" w:w="5302"/>
            <w:vAlign w:val="center"/>
          </w:tcPr>
          <w:p>
            <w:pPr>
              <w:spacing w:before="20" w:after="20"/>
            </w:pPr>
            <w:r>
              <w:rPr>
                <w:rFonts w:ascii="游ゴシック" w:hAnsi="游ゴシック" w:eastAsia="游ゴシック"/>
                <w:b/>
                <w:i w:val="0"/>
                <w:sz w:val="17"/>
              </w:rPr>
              <w:t>令和8年度交付金の該当状況調査票の控え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14</w:t>
            </w:r>
          </w:p>
        </w:tc>
        <w:tc>
          <w:tcPr>
            <w:tcW w:type="dxa" w:w="5302"/>
            <w:vAlign w:val="center"/>
          </w:tcPr>
          <w:p>
            <w:pPr>
              <w:spacing w:before="20" w:after="20"/>
            </w:pPr>
            <w:r>
              <w:rPr>
                <w:rFonts w:ascii="游ゴシック" w:hAnsi="游ゴシック" w:eastAsia="游ゴシック"/>
                <w:b/>
                <w:i w:val="0"/>
                <w:sz w:val="17"/>
              </w:rPr>
              <w:t>訪問型サービスB・通所型サービスBの実態</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15</w:t>
            </w:r>
          </w:p>
        </w:tc>
        <w:tc>
          <w:tcPr>
            <w:tcW w:type="dxa" w:w="53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16</w:t>
            </w:r>
          </w:p>
        </w:tc>
        <w:tc>
          <w:tcPr>
            <w:tcW w:type="dxa" w:w="53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17</w:t>
            </w:r>
          </w:p>
        </w:tc>
        <w:tc>
          <w:tcPr>
            <w:tcW w:type="dxa" w:w="53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18</w:t>
            </w:r>
          </w:p>
        </w:tc>
        <w:tc>
          <w:tcPr>
            <w:tcW w:type="dxa" w:w="5302"/>
            <w:vAlign w:val="center"/>
          </w:tcPr>
          <w:p>
            <w:pPr>
              <w:spacing w:before="20" w:after="20"/>
            </w:pPr>
            <w:r>
              <w:rPr>
                <w:rFonts w:ascii="游ゴシック" w:hAnsi="游ゴシック" w:eastAsia="游ゴシック"/>
                <w:b w:val="0"/>
                <w:i w:val="0"/>
                <w:sz w:val="17"/>
              </w:rPr>
              <w:t>広域連合分の該当状況調査票集計表</w:t>
            </w:r>
          </w:p>
        </w:tc>
        <w:tc>
          <w:tcPr>
            <w:tcW w:type="dxa" w:w="2820"/>
            <w:vAlign w:val="center"/>
          </w:tcPr>
          <w:p>
            <w:pPr>
              <w:spacing w:before="20" w:after="20"/>
            </w:pPr>
            <w:r>
              <w:rPr>
                <w:rFonts w:ascii="游ゴシック" w:hAnsi="游ゴシック" w:eastAsia="游ゴシック"/>
                <w:b w:val="0"/>
                <w:i w:val="0"/>
                <w:sz w:val="17"/>
              </w:rPr>
              <w:t>随時</w:t>
            </w:r>
          </w:p>
        </w:tc>
      </w:tr>
      <w:tr>
        <w:tc>
          <w:tcPr>
            <w:tcW w:type="dxa" w:w="1630"/>
            <w:vAlign w:val="center"/>
          </w:tcPr>
          <w:p>
            <w:pPr>
              <w:spacing w:before="20" w:after="20"/>
            </w:pPr>
            <w:r>
              <w:rPr>
                <w:rFonts w:ascii="游ゴシック" w:hAnsi="游ゴシック" w:eastAsia="游ゴシック"/>
                <w:b w:val="0"/>
                <w:i w:val="0"/>
                <w:sz w:val="17"/>
              </w:rPr>
              <w:t>19</w:t>
            </w:r>
          </w:p>
        </w:tc>
        <w:tc>
          <w:tcPr>
            <w:tcW w:type="dxa" w:w="53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20</w:t>
            </w:r>
          </w:p>
        </w:tc>
        <w:tc>
          <w:tcPr>
            <w:tcW w:type="dxa" w:w="53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21</w:t>
            </w:r>
          </w:p>
        </w:tc>
        <w:tc>
          <w:tcPr>
            <w:tcW w:type="dxa" w:w="53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2820"/>
            <w:vAlign w:val="center"/>
          </w:tcPr>
          <w:p>
            <w:pPr>
              <w:spacing w:before="20" w:after="20"/>
            </w:pPr>
            <w:r>
              <w:rPr>
                <w:rFonts w:ascii="游ゴシック" w:hAnsi="游ゴシック" w:eastAsia="游ゴシック"/>
                <w:b w:val="0"/>
                <w:i w:val="0"/>
                <w:sz w:val="17"/>
              </w:rPr>
              <w:t>10月中</w:t>
            </w:r>
          </w:p>
        </w:tc>
      </w:tr>
    </w:tbl>
    <w:p>
      <w:pPr>
        <w:spacing w:after="40"/>
      </w:pPr>
    </w:p>
    <w:p>
      <w:pPr>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6"/>
        <w:gridCol w:w="2334"/>
        <w:gridCol w:w="1264"/>
        <w:gridCol w:w="5007"/>
      </w:tblGrid>
      <w:tr>
        <w:tc>
          <w:tcPr>
            <w:tcW w:type="dxa" w:w="11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3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64"/>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007"/>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46"/>
            <w:vAlign w:val="center"/>
          </w:tcPr>
          <w:p>
            <w:pPr>
              <w:spacing w:before="20" w:after="20"/>
            </w:pPr>
            <w:r>
              <w:rPr>
                <w:rFonts w:ascii="游ゴシック" w:hAnsi="游ゴシック" w:eastAsia="游ゴシック"/>
                <w:b w:val="0"/>
                <w:i w:val="0"/>
                <w:sz w:val="17"/>
              </w:rPr>
              <w:t>1</w:t>
            </w:r>
          </w:p>
        </w:tc>
        <w:tc>
          <w:tcPr>
            <w:tcW w:type="dxa" w:w="2334"/>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64"/>
            <w:vAlign w:val="center"/>
          </w:tcPr>
          <w:p>
            <w:pPr>
              <w:spacing w:before="20" w:after="20"/>
            </w:pPr>
            <w:r>
              <w:rPr>
                <w:rFonts w:ascii="游ゴシック" w:hAnsi="游ゴシック" w:eastAsia="游ゴシック"/>
                <w:b w:val="0"/>
                <w:i w:val="0"/>
                <w:sz w:val="17"/>
              </w:rPr>
              <w:t>本日</w:t>
            </w:r>
          </w:p>
        </w:tc>
        <w:tc>
          <w:tcPr>
            <w:tcW w:type="dxa" w:w="5007"/>
            <w:vAlign w:val="center"/>
          </w:tcPr>
          <w:p>
            <w:pPr>
              <w:spacing w:before="20" w:after="20"/>
            </w:pPr>
            <w:r>
              <w:rPr>
                <w:rFonts w:ascii="游ゴシック" w:hAnsi="游ゴシック" w:eastAsia="游ゴシック"/>
                <w:b w:val="0"/>
                <w:i w:val="0"/>
                <w:sz w:val="17"/>
              </w:rPr>
              <w:t>―</w:t>
            </w:r>
          </w:p>
        </w:tc>
      </w:tr>
      <w:tr>
        <w:tc>
          <w:tcPr>
            <w:tcW w:type="dxa" w:w="1146"/>
            <w:vAlign w:val="center"/>
          </w:tcPr>
          <w:p>
            <w:pPr>
              <w:spacing w:before="20" w:after="20"/>
            </w:pPr>
            <w:r>
              <w:rPr>
                <w:rFonts w:ascii="游ゴシック" w:hAnsi="游ゴシック" w:eastAsia="游ゴシック"/>
                <w:b w:val="0"/>
                <w:i w:val="0"/>
                <w:sz w:val="17"/>
              </w:rPr>
              <w:t>2</w:t>
            </w:r>
          </w:p>
        </w:tc>
        <w:tc>
          <w:tcPr>
            <w:tcW w:type="dxa" w:w="2334"/>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64"/>
            <w:vAlign w:val="center"/>
          </w:tcPr>
          <w:p>
            <w:pPr>
              <w:spacing w:before="20" w:after="20"/>
            </w:pPr>
            <w:r>
              <w:rPr>
                <w:rFonts w:ascii="游ゴシック" w:hAnsi="游ゴシック" w:eastAsia="游ゴシック"/>
                <w:b w:val="0"/>
                <w:i w:val="0"/>
                <w:sz w:val="17"/>
              </w:rPr>
              <w:t>9月28日</w:t>
            </w:r>
          </w:p>
        </w:tc>
        <w:tc>
          <w:tcPr>
            <w:tcW w:type="dxa" w:w="5007"/>
            <w:vAlign w:val="center"/>
          </w:tcPr>
          <w:p>
            <w:pPr>
              <w:spacing w:before="20" w:after="20"/>
            </w:pPr>
            <w:r>
              <w:rPr>
                <w:rFonts w:ascii="游ゴシック" w:hAnsi="游ゴシック" w:eastAsia="游ゴシック"/>
                <w:b/>
                <w:i w:val="0"/>
                <w:sz w:val="17"/>
              </w:rPr>
              <w:t>推計の結果と当方の算定との突合</w:t>
            </w:r>
          </w:p>
        </w:tc>
      </w:tr>
      <w:tr>
        <w:tc>
          <w:tcPr>
            <w:tcW w:type="dxa" w:w="1146"/>
            <w:vAlign w:val="center"/>
          </w:tcPr>
          <w:p>
            <w:pPr>
              <w:spacing w:before="20" w:after="20"/>
            </w:pPr>
            <w:r>
              <w:rPr>
                <w:rFonts w:ascii="游ゴシック" w:hAnsi="游ゴシック" w:eastAsia="游ゴシック"/>
                <w:b w:val="0"/>
                <w:i w:val="0"/>
                <w:sz w:val="17"/>
              </w:rPr>
              <w:t>3</w:t>
            </w:r>
          </w:p>
        </w:tc>
        <w:tc>
          <w:tcPr>
            <w:tcW w:type="dxa" w:w="2334"/>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64"/>
            <w:vAlign w:val="center"/>
          </w:tcPr>
          <w:p>
            <w:pPr>
              <w:spacing w:before="20" w:after="20"/>
            </w:pPr>
            <w:r>
              <w:rPr>
                <w:rFonts w:ascii="游ゴシック" w:hAnsi="游ゴシック" w:eastAsia="游ゴシック"/>
                <w:b w:val="0"/>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w:t>
            </w:r>
          </w:p>
        </w:tc>
      </w:tr>
      <w:tr>
        <w:tc>
          <w:tcPr>
            <w:tcW w:type="dxa" w:w="1146"/>
            <w:vAlign w:val="center"/>
          </w:tcPr>
          <w:p>
            <w:pPr>
              <w:spacing w:before="20" w:after="20"/>
            </w:pPr>
            <w:r>
              <w:rPr>
                <w:rFonts w:ascii="游ゴシック" w:hAnsi="游ゴシック" w:eastAsia="游ゴシック"/>
                <w:b w:val="0"/>
                <w:i w:val="0"/>
                <w:sz w:val="17"/>
              </w:rPr>
              <w:t>4</w:t>
            </w:r>
          </w:p>
        </w:tc>
        <w:tc>
          <w:tcPr>
            <w:tcW w:type="dxa" w:w="2334"/>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i w:val="0"/>
                <w:sz w:val="17"/>
              </w:rPr>
              <w:t>見込量と保険料の算定確定メモ</w:t>
            </w:r>
          </w:p>
        </w:tc>
      </w:tr>
      <w:tr>
        <w:tc>
          <w:tcPr>
            <w:tcW w:type="dxa" w:w="1146"/>
            <w:vAlign w:val="center"/>
          </w:tcPr>
          <w:p>
            <w:pPr>
              <w:spacing w:before="20" w:after="20"/>
            </w:pPr>
            <w:r>
              <w:rPr>
                <w:rFonts w:ascii="游ゴシック" w:hAnsi="游ゴシック" w:eastAsia="游ゴシック"/>
                <w:b w:val="0"/>
                <w:i w:val="0"/>
                <w:sz w:val="17"/>
              </w:rPr>
              <w:t>5</w:t>
            </w:r>
          </w:p>
        </w:tc>
        <w:tc>
          <w:tcPr>
            <w:tcW w:type="dxa" w:w="2334"/>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val="0"/>
                <w:i w:val="0"/>
                <w:sz w:val="17"/>
              </w:rPr>
              <w:t>サービス別・年度別の見込量</w:t>
            </w:r>
          </w:p>
        </w:tc>
      </w:tr>
      <w:tr>
        <w:tc>
          <w:tcPr>
            <w:tcW w:type="dxa" w:w="1146"/>
            <w:vAlign w:val="center"/>
          </w:tcPr>
          <w:p>
            <w:pPr>
              <w:spacing w:before="20" w:after="20"/>
            </w:pPr>
            <w:r>
              <w:rPr>
                <w:rFonts w:ascii="游ゴシック" w:hAnsi="游ゴシック" w:eastAsia="游ゴシック"/>
                <w:b w:val="0"/>
                <w:i w:val="0"/>
                <w:sz w:val="17"/>
              </w:rPr>
              <w:t>6</w:t>
            </w:r>
          </w:p>
        </w:tc>
        <w:tc>
          <w:tcPr>
            <w:tcW w:type="dxa" w:w="2334"/>
            <w:vAlign w:val="center"/>
          </w:tcPr>
          <w:p>
            <w:pPr>
              <w:spacing w:before="20" w:after="20"/>
            </w:pPr>
            <w:r>
              <w:rPr>
                <w:rFonts w:ascii="游ゴシック" w:hAnsi="游ゴシック" w:eastAsia="游ゴシック"/>
                <w:b w:val="0"/>
                <w:i w:val="0"/>
                <w:sz w:val="17"/>
              </w:rPr>
              <w:t>小野町高齢者保健福祉計画_第10期介護保険事業計画_素案_第7版_20260929.docx</w:t>
            </w:r>
          </w:p>
        </w:tc>
        <w:tc>
          <w:tcPr>
            <w:tcW w:type="dxa" w:w="1264"/>
            <w:vAlign w:val="center"/>
          </w:tcPr>
          <w:p>
            <w:pPr>
              <w:spacing w:before="20" w:after="20"/>
            </w:pPr>
            <w:r>
              <w:rPr>
                <w:rFonts w:ascii="游ゴシック" w:hAnsi="游ゴシック" w:eastAsia="游ゴシック"/>
                <w:b/>
                <w:i w:val="0"/>
                <w:sz w:val="17"/>
              </w:rPr>
              <w:t>9月29日</w:t>
            </w:r>
          </w:p>
        </w:tc>
        <w:tc>
          <w:tcPr>
            <w:tcW w:type="dxa" w:w="5007"/>
            <w:vAlign w:val="center"/>
          </w:tcPr>
          <w:p>
            <w:pPr>
              <w:spacing w:before="20" w:after="20"/>
            </w:pPr>
            <w:r>
              <w:rPr>
                <w:rFonts w:ascii="游ゴシック" w:hAnsi="游ゴシック" w:eastAsia="游ゴシック"/>
                <w:b/>
                <w:i w:val="0"/>
                <w:sz w:val="17"/>
              </w:rPr>
              <w:t>第7版。第6版（9月28日）で、第4章④に見える化システムとの突合を加え、保険料のケースに見える化ケースを追加し、第4章 基本目標2に「⑦ 在宅医療・介護連携の推進」を新設し、基本目標3① の介護給付適正化の記述を令和8年度交付金の実際の得点に合わせて訂正した。</w:t>
            </w:r>
            <w:r>
              <w:rPr>
                <w:rFonts w:ascii="游ゴシック" w:hAnsi="游ゴシック" w:eastAsia="游ゴシック"/>
                <w:b/>
                <w:i w:val="0"/>
                <w:sz w:val="17"/>
              </w:rPr>
              <w:t>第7版では、お預かりした調査結果報告書の原本（104頁）と集計値を1件ずつ突き合わせ、認知症の設問の項目名（54.1％）を訂正した。</w:t>
            </w:r>
            <w:r>
              <w:rPr>
                <w:rFonts w:ascii="游ゴシック" w:hAnsi="游ゴシック" w:eastAsia="游ゴシック"/>
                <w:b w:val="0"/>
                <w:i w:val="0"/>
                <w:sz w:val="17"/>
              </w:rPr>
              <w:t>未確定115箇所（協議会で設定54／町データ待ち43／決定後に記載12／見える化出力待ち6）</w:t>
            </w:r>
          </w:p>
        </w:tc>
      </w:tr>
      <w:tr>
        <w:tc>
          <w:tcPr>
            <w:tcW w:type="dxa" w:w="1146"/>
            <w:vAlign w:val="center"/>
          </w:tcPr>
          <w:p>
            <w:pPr>
              <w:spacing w:before="20" w:after="20"/>
            </w:pPr>
            <w:r>
              <w:rPr>
                <w:rFonts w:ascii="游ゴシック" w:hAnsi="游ゴシック" w:eastAsia="游ゴシック"/>
                <w:b w:val="0"/>
                <w:i w:val="0"/>
                <w:sz w:val="17"/>
              </w:rPr>
              <w:t>7</w:t>
            </w:r>
          </w:p>
        </w:tc>
        <w:tc>
          <w:tcPr>
            <w:tcW w:type="dxa" w:w="2334"/>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64"/>
            <w:vAlign w:val="center"/>
          </w:tcPr>
          <w:p>
            <w:pPr>
              <w:spacing w:before="20" w:after="20"/>
            </w:pPr>
            <w:r>
              <w:rPr>
                <w:rFonts w:ascii="游ゴシック" w:hAnsi="游ゴシック" w:eastAsia="游ゴシック"/>
                <w:b w:val="0"/>
                <w:i w:val="0"/>
                <w:sz w:val="17"/>
              </w:rPr>
              <w:t>8月4日</w:t>
            </w:r>
          </w:p>
        </w:tc>
        <w:tc>
          <w:tcPr>
            <w:tcW w:type="dxa" w:w="5007"/>
            <w:vAlign w:val="center"/>
          </w:tcPr>
          <w:p>
            <w:pPr>
              <w:spacing w:before="20" w:after="20"/>
            </w:pPr>
            <w:r>
              <w:rPr>
                <w:rFonts w:ascii="游ゴシック" w:hAnsi="游ゴシック" w:eastAsia="游ゴシック"/>
                <w:b w:val="0"/>
                <w:i w:val="0"/>
                <w:sz w:val="17"/>
              </w:rPr>
              <w:t>協議会第2回でお諮りするもの</w:t>
            </w:r>
          </w:p>
        </w:tc>
      </w:tr>
      <w:tr>
        <w:tc>
          <w:tcPr>
            <w:tcW w:type="dxa" w:w="1146"/>
            <w:vAlign w:val="center"/>
          </w:tcPr>
          <w:p>
            <w:pPr>
              <w:spacing w:before="20" w:after="20"/>
            </w:pPr>
            <w:r>
              <w:rPr>
                <w:rFonts w:ascii="游ゴシック" w:hAnsi="游ゴシック" w:eastAsia="游ゴシック"/>
                <w:b w:val="0"/>
                <w:i w:val="0"/>
                <w:sz w:val="17"/>
              </w:rPr>
              <w:t>8</w:t>
            </w:r>
          </w:p>
        </w:tc>
        <w:tc>
          <w:tcPr>
            <w:tcW w:type="dxa" w:w="2334"/>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64"/>
            <w:vAlign w:val="center"/>
          </w:tcPr>
          <w:p>
            <w:pPr>
              <w:spacing w:before="20" w:after="20"/>
            </w:pPr>
            <w:r>
              <w:rPr>
                <w:rFonts w:ascii="游ゴシック" w:hAnsi="游ゴシック" w:eastAsia="游ゴシック"/>
                <w:b/>
                <w:i w:val="0"/>
                <w:sz w:val="17"/>
              </w:rPr>
              <w:t>9月29日</w:t>
            </w:r>
          </w:p>
        </w:tc>
        <w:tc>
          <w:tcPr>
            <w:tcW w:type="dxa" w:w="5007"/>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第3版。9月29日に、調査結果報告書の原本との突合により認知症の設問の項目名を訂正し、報告書の食い違い3件を第2部に注記した。</w:t>
            </w:r>
            <w:r>
              <w:rPr>
                <w:rFonts w:ascii="游ゴシック" w:hAnsi="游ゴシック" w:eastAsia="游ゴシック"/>
                <w:b/>
                <w:i w:val="0"/>
                <w:sz w:val="17"/>
              </w:rPr>
              <w:t>開催日が決まり次第お出しできます</w:t>
            </w:r>
          </w:p>
        </w:tc>
      </w:tr>
      <w:tr>
        <w:tc>
          <w:tcPr>
            <w:tcW w:type="dxa" w:w="1146"/>
            <w:vAlign w:val="center"/>
          </w:tcPr>
          <w:p>
            <w:pPr>
              <w:spacing w:before="20" w:after="20"/>
            </w:pPr>
            <w:r>
              <w:rPr>
                <w:rFonts w:ascii="游ゴシック" w:hAnsi="游ゴシック" w:eastAsia="游ゴシック"/>
                <w:b w:val="0"/>
                <w:i w:val="0"/>
                <w:sz w:val="17"/>
              </w:rPr>
              <w:t>9</w:t>
            </w:r>
          </w:p>
        </w:tc>
        <w:tc>
          <w:tcPr>
            <w:tcW w:type="dxa" w:w="2334"/>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46"/>
            <w:vAlign w:val="center"/>
          </w:tcPr>
          <w:p>
            <w:pPr>
              <w:spacing w:before="20" w:after="20"/>
            </w:pPr>
            <w:r>
              <w:rPr>
                <w:rFonts w:ascii="游ゴシック" w:hAnsi="游ゴシック" w:eastAsia="游ゴシック"/>
                <w:b w:val="0"/>
                <w:i w:val="0"/>
                <w:sz w:val="17"/>
              </w:rPr>
              <w:t>10</w:t>
            </w:r>
          </w:p>
        </w:tc>
        <w:tc>
          <w:tcPr>
            <w:tcW w:type="dxa" w:w="2334"/>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64"/>
            <w:vAlign w:val="center"/>
          </w:tcPr>
          <w:p>
            <w:pPr>
              <w:spacing w:before="20" w:after="20"/>
            </w:pPr>
            <w:r>
              <w:rPr>
                <w:rFonts w:ascii="游ゴシック" w:hAnsi="游ゴシック" w:eastAsia="游ゴシック"/>
                <w:b w:val="0"/>
                <w:i w:val="0"/>
                <w:sz w:val="17"/>
              </w:rPr>
              <w:t>9月15日</w:t>
            </w:r>
          </w:p>
        </w:tc>
        <w:tc>
          <w:tcPr>
            <w:tcW w:type="dxa" w:w="5007"/>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46"/>
            <w:vAlign w:val="center"/>
          </w:tcPr>
          <w:p>
            <w:pPr>
              <w:spacing w:before="20" w:after="20"/>
            </w:pPr>
            <w:r>
              <w:rPr>
                <w:rFonts w:ascii="游ゴシック" w:hAnsi="游ゴシック" w:eastAsia="游ゴシック"/>
                <w:b w:val="0"/>
                <w:i w:val="0"/>
                <w:sz w:val="17"/>
              </w:rPr>
              <w:t>11</w:t>
            </w:r>
          </w:p>
        </w:tc>
        <w:tc>
          <w:tcPr>
            <w:tcW w:type="dxa" w:w="2334"/>
            <w:vAlign w:val="center"/>
          </w:tcPr>
          <w:p>
            <w:pPr>
              <w:spacing w:before="20" w:after="20"/>
            </w:pPr>
            <w:r>
              <w:rPr>
                <w:rFonts w:ascii="游ゴシック" w:hAnsi="游ゴシック" w:eastAsia="游ゴシック"/>
                <w:b w:val="0"/>
                <w:i w:val="0"/>
                <w:sz w:val="17"/>
              </w:rPr>
              <w:t>小野町_業務進捗管理表_高齢者_20260928.xlsx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46"/>
            <w:vAlign w:val="center"/>
          </w:tcPr>
          <w:p>
            <w:pPr>
              <w:spacing w:before="20" w:after="20"/>
            </w:pPr>
            <w:r>
              <w:rPr>
                <w:rFonts w:ascii="游ゴシック" w:hAnsi="游ゴシック" w:eastAsia="游ゴシック"/>
                <w:b w:val="0"/>
                <w:i w:val="0"/>
                <w:sz w:val="17"/>
              </w:rPr>
              <w:t>12</w:t>
            </w:r>
          </w:p>
        </w:tc>
        <w:tc>
          <w:tcPr>
            <w:tcW w:type="dxa" w:w="2334"/>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46"/>
            <w:vAlign w:val="center"/>
          </w:tcPr>
          <w:p>
            <w:pPr>
              <w:spacing w:before="20" w:after="20"/>
            </w:pPr>
            <w:r>
              <w:rPr>
                <w:rFonts w:ascii="游ゴシック" w:hAnsi="游ゴシック" w:eastAsia="游ゴシック"/>
                <w:b w:val="0"/>
                <w:i w:val="0"/>
                <w:sz w:val="17"/>
              </w:rPr>
              <w:t>13</w:t>
            </w:r>
          </w:p>
        </w:tc>
        <w:tc>
          <w:tcPr>
            <w:tcW w:type="dxa" w:w="2334"/>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46"/>
            <w:vAlign w:val="center"/>
          </w:tcPr>
          <w:p>
            <w:pPr>
              <w:spacing w:before="20" w:after="20"/>
            </w:pPr>
            <w:r>
              <w:rPr>
                <w:rFonts w:ascii="游ゴシック" w:hAnsi="游ゴシック" w:eastAsia="游ゴシック"/>
                <w:b w:val="0"/>
                <w:i w:val="0"/>
                <w:sz w:val="17"/>
              </w:rPr>
              <w:t>14</w:t>
            </w:r>
          </w:p>
        </w:tc>
        <w:tc>
          <w:tcPr>
            <w:tcW w:type="dxa" w:w="2334"/>
            <w:vAlign w:val="center"/>
          </w:tcPr>
          <w:p>
            <w:pPr>
              <w:spacing w:before="20" w:after="20"/>
            </w:pPr>
            <w:r>
              <w:rPr>
                <w:rFonts w:ascii="游ゴシック" w:hAnsi="游ゴシック" w:eastAsia="游ゴシック"/>
                <w:b w:val="0"/>
                <w:i w:val="0"/>
                <w:sz w:val="17"/>
              </w:rPr>
              <w:t>小野町_給付適正化と交付金の取りまとめ_20260928.docx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46"/>
            <w:vAlign w:val="center"/>
          </w:tcPr>
          <w:p>
            <w:pPr>
              <w:spacing w:before="20" w:after="20"/>
            </w:pPr>
            <w:r>
              <w:rPr>
                <w:rFonts w:ascii="游ゴシック" w:hAnsi="游ゴシック" w:eastAsia="游ゴシック"/>
                <w:b w:val="0"/>
                <w:i w:val="0"/>
                <w:sz w:val="17"/>
              </w:rPr>
              <w:t>15</w:t>
            </w:r>
          </w:p>
        </w:tc>
        <w:tc>
          <w:tcPr>
            <w:tcW w:type="dxa" w:w="2334"/>
            <w:vAlign w:val="center"/>
          </w:tcPr>
          <w:p>
            <w:pPr>
              <w:spacing w:before="20" w:after="20"/>
            </w:pPr>
            <w:r>
              <w:rPr>
                <w:rFonts w:ascii="游ゴシック" w:hAnsi="游ゴシック" w:eastAsia="游ゴシック"/>
                <w:b w:val="0"/>
                <w:i w:val="0"/>
                <w:sz w:val="17"/>
              </w:rPr>
              <w:t>小野町_給付適正化と交付金_20260928.xlsx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46"/>
            <w:vAlign w:val="center"/>
          </w:tcPr>
          <w:p>
            <w:pPr>
              <w:spacing w:before="20" w:after="20"/>
            </w:pPr>
            <w:r>
              <w:rPr>
                <w:rFonts w:ascii="游ゴシック" w:hAnsi="游ゴシック" w:eastAsia="游ゴシック"/>
                <w:b w:val="0"/>
                <w:i w:val="0"/>
                <w:sz w:val="17"/>
              </w:rPr>
              <w:t>16</w:t>
            </w:r>
          </w:p>
        </w:tc>
        <w:tc>
          <w:tcPr>
            <w:tcW w:type="dxa" w:w="2334"/>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64"/>
            <w:vAlign w:val="center"/>
          </w:tcPr>
          <w:p>
            <w:pPr>
              <w:spacing w:before="20" w:after="20"/>
            </w:pPr>
            <w:r>
              <w:rPr>
                <w:rFonts w:ascii="游ゴシック" w:hAnsi="游ゴシック" w:eastAsia="游ゴシック"/>
                <w:b w:val="0"/>
                <w:i w:val="0"/>
                <w:sz w:val="17"/>
              </w:rPr>
              <w:t>8月5日</w:t>
            </w:r>
          </w:p>
        </w:tc>
        <w:tc>
          <w:tcPr>
            <w:tcW w:type="dxa" w:w="5007"/>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9月29日に、お預かりした調査結果報告書の原本（104頁）と集計値を1件ずつ突き合わせ、認知症の設問の項目名を訂正した。</w:t>
            </w:r>
            <w:r>
              <w:rPr>
                <w:rFonts w:ascii="游ゴシック" w:hAnsi="游ゴシック" w:eastAsia="游ゴシック"/>
                <w:b/>
                <w:i w:val="0"/>
                <w:sz w:val="17"/>
              </w:rPr>
              <w:t>報告書そのものの中の食い違い2件（回収数と集計の基数、通いの場の本文と図）は第4章に記載</w:t>
            </w:r>
          </w:p>
        </w:tc>
      </w:tr>
      <w:tr>
        <w:tc>
          <w:tcPr>
            <w:tcW w:type="dxa" w:w="1146"/>
            <w:vAlign w:val="center"/>
          </w:tcPr>
          <w:p>
            <w:pPr>
              <w:spacing w:before="20" w:after="20"/>
            </w:pPr>
            <w:r>
              <w:rPr>
                <w:rFonts w:ascii="游ゴシック" w:hAnsi="游ゴシック" w:eastAsia="游ゴシック"/>
                <w:b w:val="0"/>
                <w:i w:val="0"/>
                <w:sz w:val="17"/>
              </w:rPr>
              <w:t>17</w:t>
            </w:r>
          </w:p>
        </w:tc>
        <w:tc>
          <w:tcPr>
            <w:tcW w:type="dxa" w:w="2334"/>
            <w:vAlign w:val="center"/>
          </w:tcPr>
          <w:p>
            <w:pPr>
              <w:spacing w:before="20" w:after="20"/>
            </w:pPr>
            <w:r>
              <w:rPr>
                <w:rFonts w:ascii="游ゴシック" w:hAnsi="游ゴシック" w:eastAsia="游ゴシック"/>
                <w:b/>
                <w:i w:val="0"/>
                <w:sz w:val="17"/>
              </w:rPr>
              <w:t>小野町_地域分析・検討シート_記入案_20260930.xlsx</w:t>
            </w:r>
            <w:r>
              <w:rPr>
                <w:rFonts w:ascii="游ゴシック" w:hAnsi="游ゴシック" w:eastAsia="游ゴシック"/>
                <w:b w:val="0"/>
                <w:i w:val="0"/>
                <w:sz w:val="17"/>
              </w:rPr>
              <w:t>／</w:t>
            </w:r>
            <w:r>
              <w:rPr>
                <w:rFonts w:ascii="游ゴシック" w:hAnsi="游ゴシック" w:eastAsia="游ゴシック"/>
                <w:b/>
                <w:i w:val="0"/>
                <w:sz w:val="17"/>
              </w:rPr>
              <w:t>同_記入案_20260930.docx</w:t>
            </w:r>
          </w:p>
        </w:tc>
        <w:tc>
          <w:tcPr>
            <w:tcW w:type="dxa" w:w="1264"/>
            <w:vAlign w:val="center"/>
          </w:tcPr>
          <w:p>
            <w:pPr>
              <w:spacing w:before="20" w:after="20"/>
            </w:pPr>
            <w:r>
              <w:rPr>
                <w:rFonts w:ascii="游ゴシック" w:hAnsi="游ゴシック" w:eastAsia="游ゴシック"/>
                <w:b/>
                <w:i w:val="0"/>
                <w:sz w:val="17"/>
              </w:rPr>
              <w:t>9月30日</w:t>
            </w:r>
          </w:p>
        </w:tc>
        <w:tc>
          <w:tcPr>
            <w:tcW w:type="dxa" w:w="5007"/>
            <w:vAlign w:val="center"/>
          </w:tcPr>
          <w:p>
            <w:pPr>
              <w:spacing w:before="20" w:after="20"/>
            </w:pPr>
            <w:r>
              <w:rPr>
                <w:rFonts w:ascii="游ゴシック" w:hAnsi="游ゴシック" w:eastAsia="游ゴシック"/>
                <w:b/>
                <w:i w:val="0"/>
                <w:sz w:val="17"/>
              </w:rPr>
              <w:t>9月30日にお送りいただいた地域分析・検討シートの自由記述欄（3ブロック×4欄）の記入案と、その根拠です。</w:t>
            </w:r>
            <w:r>
              <w:rPr>
                <w:rFonts w:ascii="游ゴシック" w:hAnsi="游ゴシック" w:eastAsia="游ゴシック"/>
                <w:b/>
                <w:i w:val="0"/>
                <w:sz w:val="17"/>
              </w:rPr>
              <w:t>この欄は保険者機能強化推進交付金の評価指標（推進Ⅰ(ⅰ)1・同(ⅱ)）に直結します。</w:t>
            </w:r>
            <w:r>
              <w:rPr>
                <w:rFonts w:ascii="游ゴシック" w:hAnsi="游ゴシック" w:eastAsia="游ゴシック"/>
                <w:b w:val="0"/>
                <w:i w:val="0"/>
                <w:sz w:val="17"/>
              </w:rPr>
              <w:t>数値はすべて受領シートから計算しており、固定値は書いていません</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