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6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200" w:type="dxa"/>
            <w:shd w:val="clear" w:color="auto" w:fill="1F3864"/>
          </w:tcPr>
          <w:p>
            <w:pPr>
              <w:spacing w:after="0"/>
              <w:jc w:val="center"/>
            </w:pPr>
            <w:r>
              <w:rPr>
                <w:rFonts w:ascii="BIZ UDPゴシック" w:hAnsi="BIZ UDPゴシック" w:eastAsia="BIZ UDPゴシック"/>
                <w:b/>
                <w:color w:val="FFFFFF"/>
                <w:sz w:val="18"/>
              </w:rPr>
              <w:t>SHA-256（先頭16桁）</w:t>
            </w:r>
          </w:p>
        </w:tc>
      </w:tr>
      <w:tr>
        <w:tc>
          <w:tcPr>
            <w:tcW w:w="1500" w:type="dxa"/>
          </w:tcPr>
          <w:p>
            <w:pPr>
              <w:spacing w:after="0"/>
            </w:pPr>
            <w:r>
              <w:rPr>
                <w:rFonts w:ascii="BIZ UDPゴシック" w:hAnsi="BIZ UDPゴシック" w:eastAsia="BIZ UDPゴシック"/>
                <w:b w:val="0"/>
                <w:sz w:val="18"/>
              </w:rPr>
              <w:t>元ファイル</w:t>
            </w:r>
          </w:p>
        </w:tc>
        <w:tc>
          <w:tcPr>
            <w:tcW w:w="46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200" w:type="dxa"/>
          </w:tcPr>
          <w:p>
            <w:pPr>
              <w:spacing w:after="0"/>
            </w:pP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6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442</w:t>
            </w:r>
          </w:p>
        </w:tc>
        <w:tc>
          <w:tcPr>
            <w:tcW w:w="700" w:type="dxa"/>
          </w:tcPr>
          <w:p>
            <w:pPr>
              <w:spacing w:after="0"/>
            </w:pPr>
            <w:r>
              <w:rPr>
                <w:rFonts w:ascii="BIZ UDPゴシック" w:hAnsi="BIZ UDPゴシック" w:eastAsia="BIZ UDPゴシック"/>
                <w:b w:val="0"/>
                <w:sz w:val="18"/>
              </w:rPr>
              <w:t>128</w:t>
            </w:r>
          </w:p>
        </w:tc>
        <w:tc>
          <w:tcPr>
            <w:tcW w:w="900" w:type="dxa"/>
          </w:tcPr>
          <w:p>
            <w:pPr>
              <w:spacing w:after="0"/>
            </w:pPr>
            <w:r>
              <w:rPr>
                <w:rFonts w:ascii="BIZ UDPゴシック" w:hAnsi="BIZ UDPゴシック" w:eastAsia="BIZ UDPゴシック"/>
                <w:b w:val="0"/>
                <w:sz w:val="18"/>
              </w:rPr>
              <w:t>107</w:t>
            </w:r>
          </w:p>
        </w:tc>
        <w:tc>
          <w:tcPr>
            <w:tcW w:w="2200" w:type="dxa"/>
          </w:tcPr>
          <w:p>
            <w:pPr>
              <w:spacing w:after="0"/>
            </w:pPr>
            <w:r>
              <w:rPr>
                <w:rFonts w:ascii="BIZ UDPゴシック" w:hAnsi="BIZ UDPゴシック" w:eastAsia="BIZ UDPゴシック"/>
                <w:b w:val="0"/>
                <w:sz w:val="18"/>
              </w:rPr>
              <w:t>880fdac762ae437a</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13件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3件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6件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9件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見出しは57件から107件へ、表は54件から128件へ増えています。新たに設けた章節は63件、見出しの文字が変わった（主に節番号の繰り下げによる）ものが14件です。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生成器に記録された54件です。黄のマーカーが国・県の指針との不整合の是正、緑のマーカーがKPI・目標設定・課題・見込量の修正です。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24</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25</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highlight w:val="green"/>
              </w:rPr>
              <w:t>28</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38</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39</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43</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48</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52</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53</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63件です。根拠は修正履歴の該当行をご覧ください。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推計対象の３層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利用希望量と利用可能量の区別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