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素案（第11稿・調査結果と供給構造の反映）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国勢調査及び社人研推計と住民基本台帳の実績を対比する</w:t>
            </w:r>
          </w:p>
        </w:tc>
        <w:tc>
          <w:tcPr>
            <w:tcW w:type="dxa" w:w="3792"/>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91"/>
          </w:tcPr>
          <w:p>
            <w:r/>
            <w:r>
              <w:rPr>
                <w:rFonts w:ascii="游ゴシック" w:hAnsi="游ゴシック" w:eastAsia="游ゴシック"/>
                <w:b/>
                <w:sz w:val="17"/>
              </w:rPr>
              <w:t>項目</w:t>
            </w:r>
          </w:p>
        </w:tc>
        <w:tc>
          <w:tcPr>
            <w:tcW w:type="dxa" w:w="1315"/>
          </w:tcPr>
          <w:p>
            <w:r/>
            <w:r>
              <w:rPr>
                <w:rFonts w:ascii="游ゴシック" w:hAnsi="游ゴシック" w:eastAsia="游ゴシック"/>
                <w:b/>
                <w:sz w:val="17"/>
              </w:rPr>
              <w:t>R3</w:t>
            </w:r>
          </w:p>
        </w:tc>
        <w:tc>
          <w:tcPr>
            <w:tcW w:type="dxa" w:w="1315"/>
          </w:tcPr>
          <w:p>
            <w:r/>
            <w:r>
              <w:rPr>
                <w:rFonts w:ascii="游ゴシック" w:hAnsi="游ゴシック" w:eastAsia="游ゴシック"/>
                <w:b/>
                <w:sz w:val="17"/>
              </w:rPr>
              <w:t>R4</w:t>
            </w:r>
          </w:p>
        </w:tc>
        <w:tc>
          <w:tcPr>
            <w:tcW w:type="dxa" w:w="1315"/>
          </w:tcPr>
          <w:p>
            <w:r/>
            <w:r>
              <w:rPr>
                <w:rFonts w:ascii="游ゴシック" w:hAnsi="游ゴシック" w:eastAsia="游ゴシック"/>
                <w:b/>
                <w:sz w:val="17"/>
              </w:rPr>
              <w:t>R5</w:t>
            </w:r>
          </w:p>
        </w:tc>
        <w:tc>
          <w:tcPr>
            <w:tcW w:type="dxa" w:w="3616"/>
          </w:tcPr>
          <w:p>
            <w:r/>
            <w:r>
              <w:rPr>
                <w:rFonts w:ascii="游ゴシック" w:hAnsi="游ゴシック" w:eastAsia="游ゴシック"/>
                <w:b/>
                <w:sz w:val="17"/>
              </w:rPr>
              <w:t>第10期での扱い</w:t>
            </w:r>
          </w:p>
        </w:tc>
      </w:tr>
      <w:tr>
        <w:tc>
          <w:tcPr>
            <w:tcW w:type="dxa" w:w="2191"/>
          </w:tcPr>
          <w:p>
            <w:r/>
            <w:r>
              <w:rPr>
                <w:rFonts w:ascii="游ゴシック" w:hAnsi="游ゴシック" w:eastAsia="游ゴシック"/>
                <w:sz w:val="17"/>
              </w:rPr>
              <w:t>保険料収入</w:t>
            </w:r>
          </w:p>
        </w:tc>
        <w:tc>
          <w:tcPr>
            <w:tcW w:type="dxa" w:w="1315"/>
          </w:tcPr>
          <w:p>
            <w:r/>
            <w:r>
              <w:rPr>
                <w:rFonts w:ascii="游ゴシック" w:hAnsi="游ゴシック" w:eastAsia="游ゴシック"/>
                <w:sz w:val="17"/>
              </w:rPr>
              <w:t>638.6</w:t>
            </w:r>
          </w:p>
        </w:tc>
        <w:tc>
          <w:tcPr>
            <w:tcW w:type="dxa" w:w="1315"/>
          </w:tcPr>
          <w:p>
            <w:r/>
            <w:r>
              <w:rPr>
                <w:rFonts w:ascii="游ゴシック" w:hAnsi="游ゴシック" w:eastAsia="游ゴシック"/>
                <w:sz w:val="17"/>
              </w:rPr>
              <w:t>637.0</w:t>
            </w:r>
          </w:p>
        </w:tc>
        <w:tc>
          <w:tcPr>
            <w:tcW w:type="dxa" w:w="1315"/>
          </w:tcPr>
          <w:p>
            <w:r/>
            <w:r>
              <w:rPr>
                <w:rFonts w:ascii="游ゴシック" w:hAnsi="游ゴシック" w:eastAsia="游ゴシック"/>
                <w:sz w:val="17"/>
              </w:rPr>
              <w:t>636.0</w:t>
            </w:r>
          </w:p>
        </w:tc>
        <w:tc>
          <w:tcPr>
            <w:tcW w:type="dxa" w:w="3616"/>
          </w:tcPr>
          <w:p>
            <w:r/>
            <w:r>
              <w:rPr>
                <w:rFonts w:ascii="游ゴシック" w:hAnsi="游ゴシック" w:eastAsia="游ゴシック"/>
                <w:sz w:val="17"/>
              </w:rPr>
              <w:t>R5決算を基礎資料としてR6～R8へ更新</w:t>
            </w:r>
          </w:p>
        </w:tc>
      </w:tr>
      <w:tr>
        <w:tc>
          <w:tcPr>
            <w:tcW w:type="dxa" w:w="2191"/>
          </w:tcPr>
          <w:p>
            <w:r/>
            <w:r>
              <w:rPr>
                <w:rFonts w:ascii="游ゴシック" w:hAnsi="游ゴシック" w:eastAsia="游ゴシック"/>
                <w:sz w:val="17"/>
              </w:rPr>
              <w:t>保険給付費</w:t>
            </w:r>
          </w:p>
        </w:tc>
        <w:tc>
          <w:tcPr>
            <w:tcW w:type="dxa" w:w="1315"/>
          </w:tcPr>
          <w:p>
            <w:r/>
            <w:r>
              <w:rPr>
                <w:rFonts w:ascii="游ゴシック" w:hAnsi="游ゴシック" w:eastAsia="游ゴシック"/>
                <w:sz w:val="17"/>
              </w:rPr>
              <w:t>2,992.0</w:t>
            </w:r>
          </w:p>
        </w:tc>
        <w:tc>
          <w:tcPr>
            <w:tcW w:type="dxa" w:w="1315"/>
          </w:tcPr>
          <w:p>
            <w:r/>
            <w:r>
              <w:rPr>
                <w:rFonts w:ascii="游ゴシック" w:hAnsi="游ゴシック" w:eastAsia="游ゴシック"/>
                <w:sz w:val="17"/>
              </w:rPr>
              <w:t>2,907.2</w:t>
            </w:r>
          </w:p>
        </w:tc>
        <w:tc>
          <w:tcPr>
            <w:tcW w:type="dxa" w:w="1315"/>
          </w:tcPr>
          <w:p>
            <w:r/>
            <w:r>
              <w:rPr>
                <w:rFonts w:ascii="游ゴシック" w:hAnsi="游ゴシック" w:eastAsia="游ゴシック"/>
                <w:sz w:val="17"/>
              </w:rPr>
              <w:t>2,940.4</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地域支援事業費</w:t>
            </w:r>
          </w:p>
        </w:tc>
        <w:tc>
          <w:tcPr>
            <w:tcW w:type="dxa" w:w="1315"/>
          </w:tcPr>
          <w:p>
            <w:r/>
            <w:r>
              <w:rPr>
                <w:rFonts w:ascii="游ゴシック" w:hAnsi="游ゴシック" w:eastAsia="游ゴシック"/>
                <w:sz w:val="17"/>
              </w:rPr>
              <w:t>177.3</w:t>
            </w:r>
          </w:p>
        </w:tc>
        <w:tc>
          <w:tcPr>
            <w:tcW w:type="dxa" w:w="1315"/>
          </w:tcPr>
          <w:p>
            <w:r/>
            <w:r>
              <w:rPr>
                <w:rFonts w:ascii="游ゴシック" w:hAnsi="游ゴシック" w:eastAsia="游ゴシック"/>
                <w:sz w:val="17"/>
              </w:rPr>
              <w:t>182.1</w:t>
            </w:r>
          </w:p>
        </w:tc>
        <w:tc>
          <w:tcPr>
            <w:tcW w:type="dxa" w:w="1315"/>
          </w:tcPr>
          <w:p>
            <w:r/>
            <w:r>
              <w:rPr>
                <w:rFonts w:ascii="游ゴシック" w:hAnsi="游ゴシック" w:eastAsia="游ゴシック"/>
                <w:sz w:val="17"/>
              </w:rPr>
              <w:t>177.5</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歳入歳出差引</w:t>
            </w:r>
          </w:p>
        </w:tc>
        <w:tc>
          <w:tcPr>
            <w:tcW w:type="dxa" w:w="1315"/>
          </w:tcPr>
          <w:p>
            <w:r/>
            <w:r>
              <w:rPr>
                <w:rFonts w:ascii="游ゴシック" w:hAnsi="游ゴシック" w:eastAsia="游ゴシック"/>
                <w:sz w:val="17"/>
              </w:rPr>
              <w:t>94.9</w:t>
            </w:r>
          </w:p>
        </w:tc>
        <w:tc>
          <w:tcPr>
            <w:tcW w:type="dxa" w:w="1315"/>
          </w:tcPr>
          <w:p>
            <w:r/>
            <w:r>
              <w:rPr>
                <w:rFonts w:ascii="游ゴシック" w:hAnsi="游ゴシック" w:eastAsia="游ゴシック"/>
                <w:sz w:val="17"/>
              </w:rPr>
              <w:t>86.7</w:t>
            </w:r>
          </w:p>
        </w:tc>
        <w:tc>
          <w:tcPr>
            <w:tcW w:type="dxa" w:w="1315"/>
          </w:tcPr>
          <w:p>
            <w:r/>
            <w:r>
              <w:rPr>
                <w:rFonts w:ascii="游ゴシック" w:hAnsi="游ゴシック" w:eastAsia="游ゴシック"/>
                <w:sz w:val="17"/>
              </w:rPr>
              <w:t>134.4</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基金取崩額</w:t>
            </w:r>
          </w:p>
        </w:tc>
        <w:tc>
          <w:tcPr>
            <w:tcW w:type="dxa" w:w="1315"/>
          </w:tcPr>
          <w:p>
            <w:r/>
            <w:r>
              <w:rPr>
                <w:rFonts w:ascii="游ゴシック" w:hAnsi="游ゴシック" w:eastAsia="游ゴシック"/>
                <w:sz w:val="17"/>
              </w:rPr>
              <w:t>0.0</w:t>
            </w:r>
          </w:p>
        </w:tc>
        <w:tc>
          <w:tcPr>
            <w:tcW w:type="dxa" w:w="1315"/>
          </w:tcPr>
          <w:p>
            <w:r/>
            <w:r>
              <w:rPr>
                <w:rFonts w:ascii="游ゴシック" w:hAnsi="游ゴシック" w:eastAsia="游ゴシック"/>
                <w:sz w:val="17"/>
              </w:rPr>
              <w:t>0.0</w:t>
            </w:r>
          </w:p>
        </w:tc>
        <w:tc>
          <w:tcPr>
            <w:tcW w:type="dxa" w:w="1315"/>
          </w:tcPr>
          <w:p>
            <w:r/>
            <w:r>
              <w:rPr>
                <w:rFonts w:ascii="游ゴシック" w:hAnsi="游ゴシック" w:eastAsia="游ゴシック"/>
                <w:sz w:val="17"/>
              </w:rPr>
              <w:t>0.0</w:t>
            </w:r>
          </w:p>
        </w:tc>
        <w:tc>
          <w:tcPr>
            <w:tcW w:type="dxa" w:w="3616"/>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6区分平均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80"/>
      </w:pPr>
      <w:r>
        <w:rPr>
          <w:rFonts w:ascii="游ゴシック" w:hAnsi="游ゴシック" w:eastAsia="游ゴシック"/>
          <w:b w:val="0"/>
          <w:sz w:val="21"/>
        </w:rPr>
        <w:t>3町の自給率は6区分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出典：介護人材実態調査（第10期分・令和7年4月1日現在）。訪問系は区域内13事業所のうち3事業所からの回答であり、訪問系を含む数値は区域全体を代表するものではありません。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26,649</w:t>
            </w:r>
          </w:p>
        </w:tc>
        <w:tc>
          <w:tcPr>
            <w:tcW w:type="dxa" w:w="1643"/>
          </w:tcPr>
          <w:p>
            <w:r/>
            <w:r>
              <w:rPr>
                <w:rFonts w:ascii="游ゴシック" w:hAnsi="游ゴシック" w:eastAsia="游ゴシック"/>
                <w:sz w:val="17"/>
              </w:rPr>
              <w:t>9,080</w:t>
            </w:r>
          </w:p>
        </w:tc>
        <w:tc>
          <w:tcPr>
            <w:tcW w:type="dxa" w:w="1534"/>
          </w:tcPr>
          <w:p>
            <w:r/>
            <w:r>
              <w:rPr>
                <w:rFonts w:ascii="游ゴシック" w:hAnsi="游ゴシック" w:eastAsia="游ゴシック"/>
                <w:sz w:val="17"/>
              </w:rPr>
              <w:t>2,032</w:t>
            </w:r>
          </w:p>
        </w:tc>
        <w:tc>
          <w:tcPr>
            <w:tcW w:type="dxa" w:w="1534"/>
          </w:tcPr>
          <w:p>
            <w:r/>
            <w:r>
              <w:rPr>
                <w:rFonts w:ascii="游ゴシック" w:hAnsi="游ゴシック" w:eastAsia="游ゴシック"/>
                <w:sz w:val="17"/>
              </w:rPr>
              <w:t>1,995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26,195</w:t>
            </w:r>
          </w:p>
        </w:tc>
        <w:tc>
          <w:tcPr>
            <w:tcW w:type="dxa" w:w="1643"/>
          </w:tcPr>
          <w:p>
            <w:r/>
            <w:r>
              <w:rPr>
                <w:rFonts w:ascii="游ゴシック" w:hAnsi="游ゴシック" w:eastAsia="游ゴシック"/>
                <w:sz w:val="17"/>
              </w:rPr>
              <w:t>9,072</w:t>
            </w:r>
          </w:p>
        </w:tc>
        <w:tc>
          <w:tcPr>
            <w:tcW w:type="dxa" w:w="1534"/>
          </w:tcPr>
          <w:p>
            <w:r/>
            <w:r>
              <w:rPr>
                <w:rFonts w:ascii="游ゴシック" w:hAnsi="游ゴシック" w:eastAsia="游ゴシック"/>
                <w:sz w:val="17"/>
              </w:rPr>
              <w:t>2,072</w:t>
            </w:r>
          </w:p>
        </w:tc>
        <w:tc>
          <w:tcPr>
            <w:tcW w:type="dxa" w:w="1534"/>
          </w:tcPr>
          <w:p>
            <w:r/>
            <w:r>
              <w:rPr>
                <w:rFonts w:ascii="游ゴシック" w:hAnsi="游ゴシック" w:eastAsia="游ゴシック"/>
                <w:sz w:val="17"/>
              </w:rPr>
              <w:t>2,004</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24,778</w:t>
            </w:r>
          </w:p>
        </w:tc>
        <w:tc>
          <w:tcPr>
            <w:tcW w:type="dxa" w:w="1643"/>
          </w:tcPr>
          <w:p>
            <w:r/>
            <w:r>
              <w:rPr>
                <w:rFonts w:ascii="游ゴシック" w:hAnsi="游ゴシック" w:eastAsia="游ゴシック"/>
                <w:sz w:val="17"/>
              </w:rPr>
              <w:t>9,108</w:t>
            </w:r>
          </w:p>
        </w:tc>
        <w:tc>
          <w:tcPr>
            <w:tcW w:type="dxa" w:w="1534"/>
          </w:tcPr>
          <w:p>
            <w:r/>
            <w:r>
              <w:rPr>
                <w:rFonts w:ascii="游ゴシック" w:hAnsi="游ゴシック" w:eastAsia="游ゴシック"/>
                <w:sz w:val="17"/>
              </w:rPr>
              <w:t>2,455</w:t>
            </w:r>
          </w:p>
        </w:tc>
        <w:tc>
          <w:tcPr>
            <w:tcW w:type="dxa" w:w="1534"/>
          </w:tcPr>
          <w:p>
            <w:r/>
            <w:r>
              <w:rPr>
                <w:rFonts w:ascii="游ゴシック" w:hAnsi="游ゴシック" w:eastAsia="游ゴシック"/>
                <w:sz w:val="17"/>
              </w:rPr>
              <w:t>2,158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23,582</w:t>
            </w:r>
          </w:p>
        </w:tc>
        <w:tc>
          <w:tcPr>
            <w:tcW w:type="dxa" w:w="1643"/>
          </w:tcPr>
          <w:p>
            <w:r/>
            <w:r>
              <w:rPr>
                <w:rFonts w:ascii="游ゴシック" w:hAnsi="游ゴシック" w:eastAsia="游ゴシック"/>
                <w:sz w:val="17"/>
              </w:rPr>
              <w:t>9,352</w:t>
            </w:r>
          </w:p>
        </w:tc>
        <w:tc>
          <w:tcPr>
            <w:tcW w:type="dxa" w:w="1534"/>
          </w:tcPr>
          <w:p>
            <w:r/>
            <w:r>
              <w:rPr>
                <w:rFonts w:ascii="游ゴシック" w:hAnsi="游ゴシック" w:eastAsia="游ゴシック"/>
                <w:sz w:val="17"/>
              </w:rPr>
              <w:t>2,581</w:t>
            </w:r>
          </w:p>
        </w:tc>
        <w:tc>
          <w:tcPr>
            <w:tcW w:type="dxa" w:w="1534"/>
          </w:tcPr>
          <w:p>
            <w:r/>
            <w:r>
              <w:rPr>
                <w:rFonts w:ascii="游ゴシック" w:hAnsi="游ゴシック" w:eastAsia="游ゴシック"/>
                <w:sz w:val="17"/>
              </w:rPr>
              <w:t>2,216</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21,058</w:t>
            </w:r>
          </w:p>
        </w:tc>
        <w:tc>
          <w:tcPr>
            <w:tcW w:type="dxa" w:w="1643"/>
          </w:tcPr>
          <w:p>
            <w:r/>
            <w:r>
              <w:rPr>
                <w:rFonts w:ascii="游ゴシック" w:hAnsi="游ゴシック" w:eastAsia="游ゴシック"/>
                <w:sz w:val="17"/>
              </w:rPr>
              <w:t>8,979</w:t>
            </w:r>
          </w:p>
        </w:tc>
        <w:tc>
          <w:tcPr>
            <w:tcW w:type="dxa" w:w="1534"/>
          </w:tcPr>
          <w:p>
            <w:r/>
            <w:r>
              <w:rPr>
                <w:rFonts w:ascii="游ゴシック" w:hAnsi="游ゴシック" w:eastAsia="游ゴシック"/>
                <w:sz w:val="17"/>
              </w:rPr>
              <w:t>2,327</w:t>
            </w:r>
          </w:p>
        </w:tc>
        <w:tc>
          <w:tcPr>
            <w:tcW w:type="dxa" w:w="1534"/>
          </w:tcPr>
          <w:p>
            <w:r/>
            <w:r>
              <w:rPr>
                <w:rFonts w:ascii="游ゴシック" w:hAnsi="游ゴシック" w:eastAsia="游ゴシック"/>
                <w:sz w:val="17"/>
              </w:rPr>
              <w:t>2,122</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達成（▲0.1pt）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未達（▲1.2pt）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802"/>
          </w:tcPr>
          <w:p>
            <w:r/>
            <w:r>
              <w:rPr>
                <w:rFonts w:ascii="游ゴシック" w:hAnsi="游ゴシック" w:eastAsia="游ゴシック"/>
                <w:b/>
                <w:sz w:val="17"/>
              </w:rPr>
              <w:t>区分</w:t>
            </w:r>
          </w:p>
        </w:tc>
        <w:tc>
          <w:tcPr>
            <w:tcW w:type="dxa" w:w="795"/>
          </w:tcPr>
          <w:p>
            <w:r/>
            <w:r>
              <w:rPr>
                <w:rFonts w:ascii="游ゴシック" w:hAnsi="游ゴシック" w:eastAsia="游ゴシック"/>
                <w:b/>
                <w:sz w:val="17"/>
              </w:rPr>
              <w:t>H29</w:t>
            </w:r>
          </w:p>
        </w:tc>
        <w:tc>
          <w:tcPr>
            <w:tcW w:type="dxa" w:w="795"/>
          </w:tcPr>
          <w:p>
            <w:r/>
            <w:r>
              <w:rPr>
                <w:rFonts w:ascii="游ゴシック" w:hAnsi="游ゴシック" w:eastAsia="游ゴシック"/>
                <w:b/>
                <w:sz w:val="17"/>
              </w:rPr>
              <w:t>H30</w:t>
            </w:r>
          </w:p>
        </w:tc>
        <w:tc>
          <w:tcPr>
            <w:tcW w:type="dxa" w:w="795"/>
          </w:tcPr>
          <w:p>
            <w:r/>
            <w:r>
              <w:rPr>
                <w:rFonts w:ascii="游ゴシック" w:hAnsi="游ゴシック" w:eastAsia="游ゴシック"/>
                <w:b/>
                <w:sz w:val="17"/>
              </w:rPr>
              <w:t>R元</w:t>
            </w:r>
          </w:p>
        </w:tc>
        <w:tc>
          <w:tcPr>
            <w:tcW w:type="dxa" w:w="795"/>
          </w:tcPr>
          <w:p>
            <w:r/>
            <w:r>
              <w:rPr>
                <w:rFonts w:ascii="游ゴシック" w:hAnsi="游ゴシック" w:eastAsia="游ゴシック"/>
                <w:b/>
                <w:sz w:val="17"/>
              </w:rPr>
              <w:t>R2</w:t>
            </w:r>
          </w:p>
        </w:tc>
        <w:tc>
          <w:tcPr>
            <w:tcW w:type="dxa" w:w="1060"/>
          </w:tcPr>
          <w:p>
            <w:r/>
            <w:r>
              <w:rPr>
                <w:rFonts w:ascii="游ゴシック" w:hAnsi="游ゴシック" w:eastAsia="游ゴシック"/>
                <w:b/>
                <w:sz w:val="17"/>
              </w:rPr>
              <w:t>北海道R2</w:t>
            </w:r>
          </w:p>
        </w:tc>
        <w:tc>
          <w:tcPr>
            <w:tcW w:type="dxa" w:w="1060"/>
          </w:tcPr>
          <w:p>
            <w:r/>
            <w:r>
              <w:rPr>
                <w:rFonts w:ascii="游ゴシック" w:hAnsi="游ゴシック" w:eastAsia="游ゴシック"/>
                <w:b/>
                <w:sz w:val="17"/>
              </w:rPr>
              <w:t>全国R2</w:t>
            </w:r>
          </w:p>
        </w:tc>
        <w:tc>
          <w:tcPr>
            <w:tcW w:type="dxa" w:w="2650"/>
          </w:tcPr>
          <w:p>
            <w:r/>
            <w:r>
              <w:rPr>
                <w:rFonts w:ascii="游ゴシック" w:hAnsi="游ゴシック" w:eastAsia="游ゴシック"/>
                <w:b/>
                <w:sz w:val="17"/>
              </w:rPr>
              <w:t>評価</w:t>
            </w:r>
          </w:p>
        </w:tc>
      </w:tr>
      <w:tr>
        <w:tc>
          <w:tcPr>
            <w:tcW w:type="dxa" w:w="1802"/>
          </w:tcPr>
          <w:p>
            <w:r/>
            <w:r>
              <w:rPr>
                <w:rFonts w:ascii="游ゴシック" w:hAnsi="游ゴシック" w:eastAsia="游ゴシック"/>
                <w:sz w:val="17"/>
              </w:rPr>
              <w:t>月1回以上の参加率</w:t>
            </w:r>
          </w:p>
        </w:tc>
        <w:tc>
          <w:tcPr>
            <w:tcW w:type="dxa" w:w="795"/>
          </w:tcPr>
          <w:p>
            <w:r/>
            <w:r>
              <w:rPr>
                <w:rFonts w:ascii="游ゴシック" w:hAnsi="游ゴシック" w:eastAsia="游ゴシック"/>
                <w:sz w:val="17"/>
              </w:rPr>
              <w:t>3.1％</w:t>
            </w:r>
          </w:p>
        </w:tc>
        <w:tc>
          <w:tcPr>
            <w:tcW w:type="dxa" w:w="795"/>
          </w:tcPr>
          <w:p>
            <w:r/>
            <w:r>
              <w:rPr>
                <w:rFonts w:ascii="游ゴシック" w:hAnsi="游ゴシック" w:eastAsia="游ゴシック"/>
                <w:sz w:val="17"/>
              </w:rPr>
              <w:t>3.0％</w:t>
            </w:r>
          </w:p>
        </w:tc>
        <w:tc>
          <w:tcPr>
            <w:tcW w:type="dxa" w:w="795"/>
          </w:tcPr>
          <w:p>
            <w:r/>
            <w:r>
              <w:rPr>
                <w:rFonts w:ascii="游ゴシック" w:hAnsi="游ゴシック" w:eastAsia="游ゴシック"/>
                <w:sz w:val="17"/>
              </w:rPr>
              <w:t>2.7％</w:t>
            </w:r>
          </w:p>
        </w:tc>
        <w:tc>
          <w:tcPr>
            <w:tcW w:type="dxa" w:w="795"/>
          </w:tcPr>
          <w:p>
            <w:r/>
            <w:r>
              <w:rPr>
                <w:rFonts w:ascii="游ゴシック" w:hAnsi="游ゴシック" w:eastAsia="游ゴシック"/>
                <w:sz w:val="17"/>
              </w:rPr>
              <w:t>1.6％</w:t>
            </w:r>
          </w:p>
        </w:tc>
        <w:tc>
          <w:tcPr>
            <w:tcW w:type="dxa" w:w="1060"/>
          </w:tcPr>
          <w:p>
            <w:r/>
            <w:r>
              <w:rPr>
                <w:rFonts w:ascii="游ゴシック" w:hAnsi="游ゴシック" w:eastAsia="游ゴシック"/>
                <w:sz w:val="17"/>
              </w:rPr>
              <w:t>3.9％</w:t>
            </w:r>
          </w:p>
        </w:tc>
        <w:tc>
          <w:tcPr>
            <w:tcW w:type="dxa" w:w="1060"/>
          </w:tcPr>
          <w:p>
            <w:r/>
            <w:r>
              <w:rPr>
                <w:rFonts w:ascii="游ゴシック" w:hAnsi="游ゴシック" w:eastAsia="游ゴシック"/>
                <w:sz w:val="17"/>
              </w:rPr>
              <w:t>5.2％</w:t>
            </w:r>
          </w:p>
        </w:tc>
        <w:tc>
          <w:tcPr>
            <w:tcW w:type="dxa" w:w="2650"/>
          </w:tcPr>
          <w:p>
            <w:r/>
            <w:r>
              <w:rPr>
                <w:rFonts w:ascii="游ゴシック" w:hAnsi="游ゴシック" w:eastAsia="游ゴシック"/>
                <w:sz w:val="17"/>
              </w:rPr>
              <w:t>北海道の41％、全国の31％。北海道の第9期目標5.37％を2.34pt下回る</w:t>
            </w:r>
          </w:p>
        </w:tc>
      </w:tr>
      <w:tr>
        <w:tc>
          <w:tcPr>
            <w:tcW w:type="dxa" w:w="1802"/>
          </w:tcPr>
          <w:p>
            <w:r/>
            <w:r>
              <w:rPr>
                <w:rFonts w:ascii="游ゴシック" w:hAnsi="游ゴシック" w:eastAsia="游ゴシック"/>
                <w:sz w:val="17"/>
              </w:rPr>
              <w:t>週1回以上の参加率</w:t>
            </w:r>
          </w:p>
        </w:tc>
        <w:tc>
          <w:tcPr>
            <w:tcW w:type="dxa" w:w="795"/>
          </w:tcPr>
          <w:p>
            <w:r/>
            <w:r>
              <w:rPr>
                <w:rFonts w:ascii="游ゴシック" w:hAnsi="游ゴシック" w:eastAsia="游ゴシック"/>
                <w:sz w:val="17"/>
              </w:rPr>
              <w:t>0.9％</w:t>
            </w:r>
          </w:p>
        </w:tc>
        <w:tc>
          <w:tcPr>
            <w:tcW w:type="dxa" w:w="795"/>
          </w:tcPr>
          <w:p>
            <w:r/>
            <w:r>
              <w:rPr>
                <w:rFonts w:ascii="游ゴシック" w:hAnsi="游ゴシック" w:eastAsia="游ゴシック"/>
                <w:sz w:val="17"/>
              </w:rPr>
              <w:t>0.6％</w:t>
            </w:r>
          </w:p>
        </w:tc>
        <w:tc>
          <w:tcPr>
            <w:tcW w:type="dxa" w:w="795"/>
          </w:tcPr>
          <w:p>
            <w:r/>
            <w:r>
              <w:rPr>
                <w:rFonts w:ascii="游ゴシック" w:hAnsi="游ゴシック" w:eastAsia="游ゴシック"/>
                <w:sz w:val="17"/>
              </w:rPr>
              <w:t>0.6％</w:t>
            </w:r>
          </w:p>
        </w:tc>
        <w:tc>
          <w:tcPr>
            <w:tcW w:type="dxa" w:w="795"/>
          </w:tcPr>
          <w:p>
            <w:r/>
            <w:r>
              <w:rPr>
                <w:rFonts w:ascii="游ゴシック" w:hAnsi="游ゴシック" w:eastAsia="游ゴシック"/>
                <w:sz w:val="17"/>
              </w:rPr>
              <w:t>0.7％</w:t>
            </w:r>
          </w:p>
        </w:tc>
        <w:tc>
          <w:tcPr>
            <w:tcW w:type="dxa" w:w="1060"/>
          </w:tcPr>
          <w:p>
            <w:r/>
            <w:r>
              <w:rPr>
                <w:rFonts w:ascii="游ゴシック" w:hAnsi="游ゴシック" w:eastAsia="游ゴシック"/>
                <w:sz w:val="17"/>
              </w:rPr>
              <w:t>1.6％</w:t>
            </w:r>
          </w:p>
        </w:tc>
        <w:tc>
          <w:tcPr>
            <w:tcW w:type="dxa" w:w="1060"/>
          </w:tcPr>
          <w:p>
            <w:r/>
            <w:r>
              <w:rPr>
                <w:rFonts w:ascii="游ゴシック" w:hAnsi="游ゴシック" w:eastAsia="游ゴシック"/>
                <w:sz w:val="17"/>
              </w:rPr>
              <w:t>2.1％</w:t>
            </w:r>
          </w:p>
        </w:tc>
        <w:tc>
          <w:tcPr>
            <w:tcW w:type="dxa" w:w="2650"/>
          </w:tcPr>
          <w:p>
            <w:r/>
            <w:r>
              <w:rPr>
                <w:rFonts w:ascii="游ゴシック" w:hAnsi="游ゴシック" w:eastAsia="游ゴシック"/>
                <w:sz w:val="17"/>
              </w:rPr>
              <w:t>H25は大雪1.0％が全国0.7％を上回っていたが逆転した</w:t>
            </w:r>
          </w:p>
        </w:tc>
      </w:tr>
      <w:tr>
        <w:tc>
          <w:tcPr>
            <w:tcW w:type="dxa" w:w="1802"/>
          </w:tcPr>
          <w:p>
            <w:r/>
            <w:r>
              <w:rPr>
                <w:rFonts w:ascii="游ゴシック" w:hAnsi="游ゴシック" w:eastAsia="游ゴシック"/>
                <w:sz w:val="17"/>
              </w:rPr>
              <w:t>週1回以上の箇所数</w:t>
            </w:r>
          </w:p>
        </w:tc>
        <w:tc>
          <w:tcPr>
            <w:tcW w:type="dxa" w:w="795"/>
          </w:tcPr>
          <w:p>
            <w:r/>
            <w:r>
              <w:rPr>
                <w:rFonts w:ascii="游ゴシック" w:hAnsi="游ゴシック" w:eastAsia="游ゴシック"/>
                <w:sz w:val="17"/>
              </w:rPr>
              <w:t>7箇所</w:t>
            </w:r>
          </w:p>
        </w:tc>
        <w:tc>
          <w:tcPr>
            <w:tcW w:type="dxa" w:w="795"/>
          </w:tcPr>
          <w:p>
            <w:r/>
            <w:r>
              <w:rPr>
                <w:rFonts w:ascii="游ゴシック" w:hAnsi="游ゴシック" w:eastAsia="游ゴシック"/>
                <w:sz w:val="17"/>
              </w:rPr>
              <w:t>6箇所</w:t>
            </w:r>
          </w:p>
        </w:tc>
        <w:tc>
          <w:tcPr>
            <w:tcW w:type="dxa" w:w="795"/>
          </w:tcPr>
          <w:p>
            <w:r/>
            <w:r>
              <w:rPr>
                <w:rFonts w:ascii="游ゴシック" w:hAnsi="游ゴシック" w:eastAsia="游ゴシック"/>
                <w:sz w:val="17"/>
              </w:rPr>
              <w:t>4箇所</w:t>
            </w:r>
          </w:p>
        </w:tc>
        <w:tc>
          <w:tcPr>
            <w:tcW w:type="dxa" w:w="795"/>
          </w:tcPr>
          <w:p>
            <w:r/>
            <w:r>
              <w:rPr>
                <w:rFonts w:ascii="游ゴシック" w:hAnsi="游ゴシック" w:eastAsia="游ゴシック"/>
                <w:sz w:val="17"/>
              </w:rPr>
              <w:t>3箇所</w:t>
            </w:r>
          </w:p>
        </w:tc>
        <w:tc>
          <w:tcPr>
            <w:tcW w:type="dxa" w:w="1060"/>
          </w:tcPr>
          <w:p>
            <w:r/>
            <w:r>
              <w:rPr>
                <w:rFonts w:ascii="游ゴシック" w:hAnsi="游ゴシック" w:eastAsia="游ゴシック"/>
                <w:sz w:val="17"/>
              </w:rPr>
              <w:t>1,766箇所</w:t>
            </w:r>
          </w:p>
        </w:tc>
        <w:tc>
          <w:tcPr>
            <w:tcW w:type="dxa" w:w="1060"/>
          </w:tcPr>
          <w:p>
            <w:r/>
            <w:r>
              <w:rPr>
                <w:rFonts w:ascii="游ゴシック" w:hAnsi="游ゴシック" w:eastAsia="游ゴシック"/>
                <w:sz w:val="17"/>
              </w:rPr>
              <w:t>47,181箇所</w:t>
            </w:r>
          </w:p>
        </w:tc>
        <w:tc>
          <w:tcPr>
            <w:tcW w:type="dxa" w:w="2650"/>
          </w:tcPr>
          <w:p>
            <w:r/>
            <w:r>
              <w:rPr>
                <w:rFonts w:ascii="游ゴシック" w:hAnsi="游ゴシック" w:eastAsia="游ゴシック"/>
                <w:sz w:val="17"/>
              </w:rPr>
              <w:t>65歳以上1万人当たり3.24箇所は全国13.12箇所の25％</w:t>
            </w:r>
          </w:p>
        </w:tc>
      </w:tr>
      <w:tr>
        <w:tc>
          <w:tcPr>
            <w:tcW w:type="dxa" w:w="1802"/>
          </w:tcPr>
          <w:p>
            <w:r/>
            <w:r>
              <w:rPr>
                <w:rFonts w:ascii="游ゴシック" w:hAnsi="游ゴシック" w:eastAsia="游ゴシック"/>
                <w:sz w:val="17"/>
              </w:rPr>
              <w:t>月1回以上の参加者数</w:t>
            </w:r>
          </w:p>
        </w:tc>
        <w:tc>
          <w:tcPr>
            <w:tcW w:type="dxa" w:w="795"/>
          </w:tcPr>
          <w:p>
            <w:r/>
            <w:r>
              <w:rPr>
                <w:rFonts w:ascii="游ゴシック" w:hAnsi="游ゴシック" w:eastAsia="游ゴシック"/>
                <w:sz w:val="17"/>
              </w:rPr>
              <w:t>277人</w:t>
            </w:r>
          </w:p>
        </w:tc>
        <w:tc>
          <w:tcPr>
            <w:tcW w:type="dxa" w:w="795"/>
          </w:tcPr>
          <w:p>
            <w:r/>
            <w:r>
              <w:rPr>
                <w:rFonts w:ascii="游ゴシック" w:hAnsi="游ゴシック" w:eastAsia="游ゴシック"/>
                <w:sz w:val="17"/>
              </w:rPr>
              <w:t>―</w:t>
            </w:r>
          </w:p>
        </w:tc>
        <w:tc>
          <w:tcPr>
            <w:tcW w:type="dxa" w:w="795"/>
          </w:tcPr>
          <w:p>
            <w:r/>
            <w:r>
              <w:rPr>
                <w:rFonts w:ascii="游ゴシック" w:hAnsi="游ゴシック" w:eastAsia="游ゴシック"/>
                <w:sz w:val="17"/>
              </w:rPr>
              <w:t>―</w:t>
            </w:r>
          </w:p>
        </w:tc>
        <w:tc>
          <w:tcPr>
            <w:tcW w:type="dxa" w:w="795"/>
          </w:tcPr>
          <w:p>
            <w:r/>
            <w:r>
              <w:rPr>
                <w:rFonts w:ascii="游ゴシック" w:hAnsi="游ゴシック" w:eastAsia="游ゴシック"/>
                <w:sz w:val="17"/>
              </w:rPr>
              <w:t>151人</w:t>
            </w:r>
          </w:p>
        </w:tc>
        <w:tc>
          <w:tcPr>
            <w:tcW w:type="dxa" w:w="1060"/>
          </w:tcPr>
          <w:p>
            <w:r/>
            <w:r>
              <w:rPr>
                <w:rFonts w:ascii="游ゴシック" w:hAnsi="游ゴシック" w:eastAsia="游ゴシック"/>
                <w:sz w:val="17"/>
              </w:rPr>
              <w:t>―</w:t>
            </w:r>
          </w:p>
        </w:tc>
        <w:tc>
          <w:tcPr>
            <w:tcW w:type="dxa" w:w="1060"/>
          </w:tcPr>
          <w:p>
            <w:r/>
            <w:r>
              <w:rPr>
                <w:rFonts w:ascii="游ゴシック" w:hAnsi="游ゴシック" w:eastAsia="游ゴシック"/>
                <w:sz w:val="17"/>
              </w:rPr>
              <w:t>―</w:t>
            </w:r>
          </w:p>
        </w:tc>
        <w:tc>
          <w:tcPr>
            <w:tcW w:type="dxa" w:w="2650"/>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976000" cy="3922763"/>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976000" cy="3922763"/>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659"/>
          </w:tcPr>
          <w:p>
            <w:r/>
            <w:r>
              <w:rPr>
                <w:rFonts w:ascii="游ゴシック" w:hAnsi="游ゴシック" w:eastAsia="游ゴシック"/>
                <w:b/>
                <w:sz w:val="17"/>
              </w:rPr>
              <w:t>区分</w:t>
            </w:r>
          </w:p>
        </w:tc>
        <w:tc>
          <w:tcPr>
            <w:tcW w:type="dxa" w:w="1182"/>
          </w:tcPr>
          <w:p>
            <w:r/>
            <w:r>
              <w:rPr>
                <w:rFonts w:ascii="游ゴシック" w:hAnsi="游ゴシック" w:eastAsia="游ゴシック"/>
                <w:b/>
                <w:sz w:val="17"/>
              </w:rPr>
              <w:t>大雪</w:t>
            </w:r>
          </w:p>
        </w:tc>
        <w:tc>
          <w:tcPr>
            <w:tcW w:type="dxa" w:w="1182"/>
          </w:tcPr>
          <w:p>
            <w:r/>
            <w:r>
              <w:rPr>
                <w:rFonts w:ascii="游ゴシック" w:hAnsi="游ゴシック" w:eastAsia="游ゴシック"/>
                <w:b/>
                <w:sz w:val="17"/>
              </w:rPr>
              <w:t>北海道</w:t>
            </w:r>
          </w:p>
        </w:tc>
        <w:tc>
          <w:tcPr>
            <w:tcW w:type="dxa" w:w="1182"/>
          </w:tcPr>
          <w:p>
            <w:r/>
            <w:r>
              <w:rPr>
                <w:rFonts w:ascii="游ゴシック" w:hAnsi="游ゴシック" w:eastAsia="游ゴシック"/>
                <w:b/>
                <w:sz w:val="17"/>
              </w:rPr>
              <w:t>全国</w:t>
            </w:r>
          </w:p>
        </w:tc>
        <w:tc>
          <w:tcPr>
            <w:tcW w:type="dxa" w:w="985"/>
          </w:tcPr>
          <w:p>
            <w:r/>
            <w:r>
              <w:rPr>
                <w:rFonts w:ascii="游ゴシック" w:hAnsi="游ゴシック" w:eastAsia="游ゴシック"/>
                <w:b/>
                <w:sz w:val="17"/>
              </w:rPr>
              <w:t>対全国</w:t>
            </w:r>
          </w:p>
        </w:tc>
        <w:tc>
          <w:tcPr>
            <w:tcW w:type="dxa" w:w="2561"/>
          </w:tcPr>
          <w:p>
            <w:r/>
            <w:r>
              <w:rPr>
                <w:rFonts w:ascii="游ゴシック" w:hAnsi="游ゴシック" w:eastAsia="游ゴシック"/>
                <w:b/>
                <w:sz w:val="17"/>
              </w:rPr>
              <w:t>評価</w:t>
            </w:r>
          </w:p>
        </w:tc>
      </w:tr>
      <w:tr>
        <w:tc>
          <w:tcPr>
            <w:tcW w:type="dxa" w:w="2659"/>
          </w:tcPr>
          <w:p>
            <w:r/>
            <w:r>
              <w:rPr>
                <w:rFonts w:ascii="游ゴシック" w:hAnsi="游ゴシック" w:eastAsia="游ゴシック"/>
                <w:sz w:val="17"/>
              </w:rPr>
              <w:t>保険者機能強化推進交付金</w:t>
            </w:r>
          </w:p>
        </w:tc>
        <w:tc>
          <w:tcPr>
            <w:tcW w:type="dxa" w:w="1182"/>
          </w:tcPr>
          <w:p>
            <w:r/>
            <w:r>
              <w:rPr>
                <w:rFonts w:ascii="游ゴシック" w:hAnsi="游ゴシック" w:eastAsia="游ゴシック"/>
                <w:sz w:val="17"/>
              </w:rPr>
              <w:t>164.7点</w:t>
            </w:r>
          </w:p>
        </w:tc>
        <w:tc>
          <w:tcPr>
            <w:tcW w:type="dxa" w:w="1182"/>
          </w:tcPr>
          <w:p>
            <w:r/>
            <w:r>
              <w:rPr>
                <w:rFonts w:ascii="游ゴシック" w:hAnsi="游ゴシック" w:eastAsia="游ゴシック"/>
                <w:sz w:val="17"/>
              </w:rPr>
              <w:t>210.4点</w:t>
            </w:r>
          </w:p>
        </w:tc>
        <w:tc>
          <w:tcPr>
            <w:tcW w:type="dxa" w:w="1182"/>
          </w:tcPr>
          <w:p>
            <w:r/>
            <w:r>
              <w:rPr>
                <w:rFonts w:ascii="游ゴシック" w:hAnsi="游ゴシック" w:eastAsia="游ゴシック"/>
                <w:sz w:val="17"/>
              </w:rPr>
              <w:t>205.6点</w:t>
            </w:r>
          </w:p>
        </w:tc>
        <w:tc>
          <w:tcPr>
            <w:tcW w:type="dxa" w:w="985"/>
          </w:tcPr>
          <w:p>
            <w:r/>
            <w:r>
              <w:rPr>
                <w:rFonts w:ascii="游ゴシック" w:hAnsi="游ゴシック" w:eastAsia="游ゴシック"/>
                <w:sz w:val="17"/>
              </w:rPr>
              <w:t>80.1％</w:t>
            </w:r>
          </w:p>
        </w:tc>
        <w:tc>
          <w:tcPr>
            <w:tcW w:type="dxa" w:w="2561"/>
          </w:tcPr>
          <w:p>
            <w:r/>
            <w:r>
              <w:rPr>
                <w:rFonts w:ascii="游ゴシック" w:hAnsi="游ゴシック" w:eastAsia="游ゴシック"/>
                <w:sz w:val="17"/>
              </w:rPr>
              <w:t>全国平均を40.9点下回る</w:t>
            </w:r>
          </w:p>
        </w:tc>
      </w:tr>
      <w:tr>
        <w:tc>
          <w:tcPr>
            <w:tcW w:type="dxa" w:w="2659"/>
          </w:tcPr>
          <w:p>
            <w:r/>
            <w:r>
              <w:rPr>
                <w:rFonts w:ascii="游ゴシック" w:hAnsi="游ゴシック" w:eastAsia="游ゴシック"/>
                <w:sz w:val="17"/>
              </w:rPr>
              <w:t>介護保険保険者努力支援交付金</w:t>
            </w:r>
          </w:p>
        </w:tc>
        <w:tc>
          <w:tcPr>
            <w:tcW w:type="dxa" w:w="1182"/>
          </w:tcPr>
          <w:p>
            <w:r/>
            <w:r>
              <w:rPr>
                <w:rFonts w:ascii="游ゴシック" w:hAnsi="游ゴシック" w:eastAsia="游ゴシック"/>
                <w:sz w:val="17"/>
              </w:rPr>
              <w:t>167.3点</w:t>
            </w:r>
          </w:p>
        </w:tc>
        <w:tc>
          <w:tcPr>
            <w:tcW w:type="dxa" w:w="1182"/>
          </w:tcPr>
          <w:p>
            <w:r/>
            <w:r>
              <w:rPr>
                <w:rFonts w:ascii="游ゴシック" w:hAnsi="游ゴシック" w:eastAsia="游ゴシック"/>
                <w:sz w:val="17"/>
              </w:rPr>
              <w:t>203.3点</w:t>
            </w:r>
          </w:p>
        </w:tc>
        <w:tc>
          <w:tcPr>
            <w:tcW w:type="dxa" w:w="1182"/>
          </w:tcPr>
          <w:p>
            <w:r/>
            <w:r>
              <w:rPr>
                <w:rFonts w:ascii="游ゴシック" w:hAnsi="游ゴシック" w:eastAsia="游ゴシック"/>
                <w:sz w:val="17"/>
              </w:rPr>
              <w:t>216.7点</w:t>
            </w:r>
          </w:p>
        </w:tc>
        <w:tc>
          <w:tcPr>
            <w:tcW w:type="dxa" w:w="985"/>
          </w:tcPr>
          <w:p>
            <w:r/>
            <w:r>
              <w:rPr>
                <w:rFonts w:ascii="游ゴシック" w:hAnsi="游ゴシック" w:eastAsia="游ゴシック"/>
                <w:sz w:val="17"/>
              </w:rPr>
              <w:t>77.2％</w:t>
            </w:r>
          </w:p>
        </w:tc>
        <w:tc>
          <w:tcPr>
            <w:tcW w:type="dxa" w:w="2561"/>
          </w:tcPr>
          <w:p>
            <w:r/>
            <w:r>
              <w:rPr>
                <w:rFonts w:ascii="游ゴシック" w:hAnsi="游ゴシック" w:eastAsia="游ゴシック"/>
                <w:sz w:val="17"/>
              </w:rPr>
              <w:t>全国平均を49.4点下回る</w:t>
            </w:r>
          </w:p>
        </w:tc>
      </w:tr>
      <w:tr>
        <w:tc>
          <w:tcPr>
            <w:tcW w:type="dxa" w:w="2659"/>
          </w:tcPr>
          <w:p>
            <w:r/>
            <w:r>
              <w:rPr>
                <w:rFonts w:ascii="游ゴシック" w:hAnsi="游ゴシック" w:eastAsia="游ゴシック"/>
                <w:sz w:val="17"/>
              </w:rPr>
              <w:t>合計</w:t>
            </w:r>
          </w:p>
        </w:tc>
        <w:tc>
          <w:tcPr>
            <w:tcW w:type="dxa" w:w="1182"/>
          </w:tcPr>
          <w:p>
            <w:r/>
            <w:r>
              <w:rPr>
                <w:rFonts w:ascii="游ゴシック" w:hAnsi="游ゴシック" w:eastAsia="游ゴシック"/>
                <w:sz w:val="17"/>
              </w:rPr>
              <w:t>332.0点</w:t>
            </w:r>
          </w:p>
        </w:tc>
        <w:tc>
          <w:tcPr>
            <w:tcW w:type="dxa" w:w="1182"/>
          </w:tcPr>
          <w:p>
            <w:r/>
            <w:r>
              <w:rPr>
                <w:rFonts w:ascii="游ゴシック" w:hAnsi="游ゴシック" w:eastAsia="游ゴシック"/>
                <w:sz w:val="17"/>
              </w:rPr>
              <w:t>413.6点</w:t>
            </w:r>
          </w:p>
        </w:tc>
        <w:tc>
          <w:tcPr>
            <w:tcW w:type="dxa" w:w="1182"/>
          </w:tcPr>
          <w:p>
            <w:r/>
            <w:r>
              <w:rPr>
                <w:rFonts w:ascii="游ゴシック" w:hAnsi="游ゴシック" w:eastAsia="游ゴシック"/>
                <w:sz w:val="17"/>
              </w:rPr>
              <w:t>422.4点</w:t>
            </w:r>
          </w:p>
        </w:tc>
        <w:tc>
          <w:tcPr>
            <w:tcW w:type="dxa" w:w="985"/>
          </w:tcPr>
          <w:p>
            <w:r/>
            <w:r>
              <w:rPr>
                <w:rFonts w:ascii="游ゴシック" w:hAnsi="游ゴシック" w:eastAsia="游ゴシック"/>
                <w:sz w:val="17"/>
              </w:rPr>
              <w:t>78.6％</w:t>
            </w:r>
          </w:p>
        </w:tc>
        <w:tc>
          <w:tcPr>
            <w:tcW w:type="dxa" w:w="2561"/>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976000" cy="3591537"/>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976000" cy="359153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82"/>
          </w:tcPr>
          <w:p>
            <w:r/>
            <w:r>
              <w:rPr>
                <w:rFonts w:ascii="游ゴシック" w:hAnsi="游ゴシック" w:eastAsia="游ゴシック"/>
                <w:b/>
                <w:sz w:val="17"/>
              </w:rPr>
              <w:t>交付金・指標群</w:t>
            </w:r>
          </w:p>
        </w:tc>
        <w:tc>
          <w:tcPr>
            <w:tcW w:type="dxa" w:w="1141"/>
          </w:tcPr>
          <w:p>
            <w:r/>
            <w:r>
              <w:rPr>
                <w:rFonts w:ascii="游ゴシック" w:hAnsi="游ゴシック" w:eastAsia="游ゴシック"/>
                <w:b/>
                <w:sz w:val="17"/>
              </w:rPr>
              <w:t>大雪</w:t>
            </w:r>
          </w:p>
        </w:tc>
        <w:tc>
          <w:tcPr>
            <w:tcW w:type="dxa" w:w="1141"/>
          </w:tcPr>
          <w:p>
            <w:r/>
            <w:r>
              <w:rPr>
                <w:rFonts w:ascii="游ゴシック" w:hAnsi="游ゴシック" w:eastAsia="游ゴシック"/>
                <w:b/>
                <w:sz w:val="17"/>
              </w:rPr>
              <w:t>北海道</w:t>
            </w:r>
          </w:p>
        </w:tc>
        <w:tc>
          <w:tcPr>
            <w:tcW w:type="dxa" w:w="1141"/>
          </w:tcPr>
          <w:p>
            <w:r/>
            <w:r>
              <w:rPr>
                <w:rFonts w:ascii="游ゴシック" w:hAnsi="游ゴシック" w:eastAsia="游ゴシック"/>
                <w:b/>
                <w:sz w:val="17"/>
              </w:rPr>
              <w:t>全国</w:t>
            </w:r>
          </w:p>
        </w:tc>
        <w:tc>
          <w:tcPr>
            <w:tcW w:type="dxa" w:w="1037"/>
          </w:tcPr>
          <w:p>
            <w:r/>
            <w:r>
              <w:rPr>
                <w:rFonts w:ascii="游ゴシック" w:hAnsi="游ゴシック" w:eastAsia="游ゴシック"/>
                <w:b/>
                <w:sz w:val="17"/>
              </w:rPr>
              <w:t>対全国</w:t>
            </w:r>
          </w:p>
        </w:tc>
        <w:tc>
          <w:tcPr>
            <w:tcW w:type="dxa" w:w="3008"/>
          </w:tcPr>
          <w:p>
            <w:r/>
            <w:r>
              <w:rPr>
                <w:rFonts w:ascii="游ゴシック" w:hAnsi="游ゴシック" w:eastAsia="游ゴシック"/>
                <w:b/>
                <w:sz w:val="17"/>
              </w:rPr>
              <w:t>内容</w:t>
            </w:r>
          </w:p>
        </w:tc>
      </w:tr>
      <w:tr>
        <w:tc>
          <w:tcPr>
            <w:tcW w:type="dxa" w:w="2282"/>
          </w:tcPr>
          <w:p>
            <w:r/>
            <w:r>
              <w:rPr>
                <w:rFonts w:ascii="游ゴシック" w:hAnsi="游ゴシック" w:eastAsia="游ゴシック"/>
                <w:sz w:val="17"/>
              </w:rPr>
              <w:t>推進　取組・体制指標群</w:t>
            </w:r>
          </w:p>
        </w:tc>
        <w:tc>
          <w:tcPr>
            <w:tcW w:type="dxa" w:w="1141"/>
          </w:tcPr>
          <w:p>
            <w:r/>
            <w:r>
              <w:rPr>
                <w:rFonts w:ascii="游ゴシック" w:hAnsi="游ゴシック" w:eastAsia="游ゴシック"/>
                <w:sz w:val="17"/>
              </w:rPr>
              <w:t>96.7点</w:t>
            </w:r>
          </w:p>
        </w:tc>
        <w:tc>
          <w:tcPr>
            <w:tcW w:type="dxa" w:w="1141"/>
          </w:tcPr>
          <w:p>
            <w:r/>
            <w:r>
              <w:rPr>
                <w:rFonts w:ascii="游ゴシック" w:hAnsi="游ゴシック" w:eastAsia="游ゴシック"/>
                <w:sz w:val="17"/>
              </w:rPr>
              <w:t>121.4点</w:t>
            </w:r>
          </w:p>
        </w:tc>
        <w:tc>
          <w:tcPr>
            <w:tcW w:type="dxa" w:w="1141"/>
          </w:tcPr>
          <w:p>
            <w:r/>
            <w:r>
              <w:rPr>
                <w:rFonts w:ascii="游ゴシック" w:hAnsi="游ゴシック" w:eastAsia="游ゴシック"/>
                <w:sz w:val="17"/>
              </w:rPr>
              <w:t>122.5点</w:t>
            </w:r>
          </w:p>
        </w:tc>
        <w:tc>
          <w:tcPr>
            <w:tcW w:type="dxa" w:w="1037"/>
          </w:tcPr>
          <w:p>
            <w:r/>
            <w:r>
              <w:rPr>
                <w:rFonts w:ascii="游ゴシック" w:hAnsi="游ゴシック" w:eastAsia="游ゴシック"/>
                <w:sz w:val="17"/>
              </w:rPr>
              <w:t>78.9％</w:t>
            </w:r>
          </w:p>
        </w:tc>
        <w:tc>
          <w:tcPr>
            <w:tcW w:type="dxa" w:w="3008"/>
          </w:tcPr>
          <w:p>
            <w:r/>
            <w:r>
              <w:rPr>
                <w:rFonts w:ascii="游ゴシック" w:hAnsi="游ゴシック" w:eastAsia="游ゴシック"/>
                <w:sz w:val="17"/>
              </w:rPr>
              <w:t>計画・体制の整備に関する指標</w:t>
            </w:r>
          </w:p>
        </w:tc>
      </w:tr>
      <w:tr>
        <w:tc>
          <w:tcPr>
            <w:tcW w:type="dxa" w:w="2282"/>
          </w:tcPr>
          <w:p>
            <w:r/>
            <w:r>
              <w:rPr>
                <w:rFonts w:ascii="游ゴシック" w:hAnsi="游ゴシック" w:eastAsia="游ゴシック"/>
                <w:sz w:val="17"/>
              </w:rPr>
              <w:t>推進　活動指標群</w:t>
            </w:r>
          </w:p>
        </w:tc>
        <w:tc>
          <w:tcPr>
            <w:tcW w:type="dxa" w:w="1141"/>
          </w:tcPr>
          <w:p>
            <w:r/>
            <w:r>
              <w:rPr>
                <w:rFonts w:ascii="游ゴシック" w:hAnsi="游ゴシック" w:eastAsia="游ゴシック"/>
                <w:sz w:val="17"/>
              </w:rPr>
              <w:t>8.0点</w:t>
            </w:r>
          </w:p>
        </w:tc>
        <w:tc>
          <w:tcPr>
            <w:tcW w:type="dxa" w:w="1141"/>
          </w:tcPr>
          <w:p>
            <w:r/>
            <w:r>
              <w:rPr>
                <w:rFonts w:ascii="游ゴシック" w:hAnsi="游ゴシック" w:eastAsia="游ゴシック"/>
                <w:sz w:val="17"/>
              </w:rPr>
              <w:t>33.2点</w:t>
            </w:r>
          </w:p>
        </w:tc>
        <w:tc>
          <w:tcPr>
            <w:tcW w:type="dxa" w:w="1141"/>
          </w:tcPr>
          <w:p>
            <w:r/>
            <w:r>
              <w:rPr>
                <w:rFonts w:ascii="游ゴシック" w:hAnsi="游ゴシック" w:eastAsia="游ゴシック"/>
                <w:sz w:val="17"/>
              </w:rPr>
              <w:t>34.5点</w:t>
            </w:r>
          </w:p>
        </w:tc>
        <w:tc>
          <w:tcPr>
            <w:tcW w:type="dxa" w:w="1037"/>
          </w:tcPr>
          <w:p>
            <w:r/>
            <w:r>
              <w:rPr>
                <w:rFonts w:ascii="游ゴシック" w:hAnsi="游ゴシック" w:eastAsia="游ゴシック"/>
                <w:sz w:val="17"/>
              </w:rPr>
              <w:t>23.2％</w:t>
            </w:r>
          </w:p>
        </w:tc>
        <w:tc>
          <w:tcPr>
            <w:tcW w:type="dxa" w:w="3008"/>
          </w:tcPr>
          <w:p>
            <w:r/>
            <w:r>
              <w:rPr>
                <w:rFonts w:ascii="游ゴシック" w:hAnsi="游ゴシック" w:eastAsia="游ゴシック"/>
                <w:sz w:val="17"/>
              </w:rPr>
              <w:t>実際の活動量を測る指標</w:t>
            </w:r>
          </w:p>
        </w:tc>
      </w:tr>
      <w:tr>
        <w:tc>
          <w:tcPr>
            <w:tcW w:type="dxa" w:w="2282"/>
          </w:tcPr>
          <w:p>
            <w:r/>
            <w:r>
              <w:rPr>
                <w:rFonts w:ascii="游ゴシック" w:hAnsi="游ゴシック" w:eastAsia="游ゴシック"/>
                <w:sz w:val="17"/>
              </w:rPr>
              <w:t>推進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要介護度の変化等のアウトカム</w:t>
            </w:r>
          </w:p>
        </w:tc>
      </w:tr>
      <w:tr>
        <w:tc>
          <w:tcPr>
            <w:tcW w:type="dxa" w:w="2282"/>
          </w:tcPr>
          <w:p>
            <w:r/>
            <w:r>
              <w:rPr>
                <w:rFonts w:ascii="游ゴシック" w:hAnsi="游ゴシック" w:eastAsia="游ゴシック"/>
                <w:sz w:val="17"/>
              </w:rPr>
              <w:t>支援　取組・体制指標群</w:t>
            </w:r>
          </w:p>
        </w:tc>
        <w:tc>
          <w:tcPr>
            <w:tcW w:type="dxa" w:w="1141"/>
          </w:tcPr>
          <w:p>
            <w:r/>
            <w:r>
              <w:rPr>
                <w:rFonts w:ascii="游ゴシック" w:hAnsi="游ゴシック" w:eastAsia="游ゴシック"/>
                <w:sz w:val="17"/>
              </w:rPr>
              <w:t>82.3点</w:t>
            </w:r>
          </w:p>
        </w:tc>
        <w:tc>
          <w:tcPr>
            <w:tcW w:type="dxa" w:w="1141"/>
          </w:tcPr>
          <w:p>
            <w:r/>
            <w:r>
              <w:rPr>
                <w:rFonts w:ascii="游ゴシック" w:hAnsi="游ゴシック" w:eastAsia="游ゴシック"/>
                <w:sz w:val="17"/>
              </w:rPr>
              <w:t>109.7点</w:t>
            </w:r>
          </w:p>
        </w:tc>
        <w:tc>
          <w:tcPr>
            <w:tcW w:type="dxa" w:w="1141"/>
          </w:tcPr>
          <w:p>
            <w:r/>
            <w:r>
              <w:rPr>
                <w:rFonts w:ascii="游ゴシック" w:hAnsi="游ゴシック" w:eastAsia="游ゴシック"/>
                <w:sz w:val="17"/>
              </w:rPr>
              <w:t>123.1点</w:t>
            </w:r>
          </w:p>
        </w:tc>
        <w:tc>
          <w:tcPr>
            <w:tcW w:type="dxa" w:w="1037"/>
          </w:tcPr>
          <w:p>
            <w:r/>
            <w:r>
              <w:rPr>
                <w:rFonts w:ascii="游ゴシック" w:hAnsi="游ゴシック" w:eastAsia="游ゴシック"/>
                <w:sz w:val="17"/>
              </w:rPr>
              <w:t>66.9％</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活動指標群</w:t>
            </w:r>
          </w:p>
        </w:tc>
        <w:tc>
          <w:tcPr>
            <w:tcW w:type="dxa" w:w="1141"/>
          </w:tcPr>
          <w:p>
            <w:r/>
            <w:r>
              <w:rPr>
                <w:rFonts w:ascii="游ゴシック" w:hAnsi="游ゴシック" w:eastAsia="游ゴシック"/>
                <w:sz w:val="17"/>
              </w:rPr>
              <w:t>25.0点</w:t>
            </w:r>
          </w:p>
        </w:tc>
        <w:tc>
          <w:tcPr>
            <w:tcW w:type="dxa" w:w="1141"/>
          </w:tcPr>
          <w:p>
            <w:r/>
            <w:r>
              <w:rPr>
                <w:rFonts w:ascii="游ゴシック" w:hAnsi="游ゴシック" w:eastAsia="游ゴシック"/>
                <w:sz w:val="17"/>
              </w:rPr>
              <w:t>37.8点</w:t>
            </w:r>
          </w:p>
        </w:tc>
        <w:tc>
          <w:tcPr>
            <w:tcW w:type="dxa" w:w="1141"/>
          </w:tcPr>
          <w:p>
            <w:r/>
            <w:r>
              <w:rPr>
                <w:rFonts w:ascii="游ゴシック" w:hAnsi="游ゴシック" w:eastAsia="游ゴシック"/>
                <w:sz w:val="17"/>
              </w:rPr>
              <w:t>45.0点</w:t>
            </w:r>
          </w:p>
        </w:tc>
        <w:tc>
          <w:tcPr>
            <w:tcW w:type="dxa" w:w="1037"/>
          </w:tcPr>
          <w:p>
            <w:r/>
            <w:r>
              <w:rPr>
                <w:rFonts w:ascii="游ゴシック" w:hAnsi="游ゴシック" w:eastAsia="游ゴシック"/>
                <w:sz w:val="17"/>
              </w:rPr>
              <w:t>55.6％</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976000" cy="263264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976000" cy="263264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16"/>
          </w:tcPr>
          <w:p>
            <w:r/>
            <w:r>
              <w:rPr>
                <w:rFonts w:ascii="游ゴシック" w:hAnsi="游ゴシック" w:eastAsia="游ゴシック"/>
                <w:b/>
                <w:sz w:val="17"/>
              </w:rPr>
              <w:t>目標</w:t>
            </w:r>
          </w:p>
        </w:tc>
        <w:tc>
          <w:tcPr>
            <w:tcW w:type="dxa" w:w="1106"/>
          </w:tcPr>
          <w:p>
            <w:r/>
            <w:r>
              <w:rPr>
                <w:rFonts w:ascii="游ゴシック" w:hAnsi="游ゴシック" w:eastAsia="游ゴシック"/>
                <w:b/>
                <w:sz w:val="17"/>
              </w:rPr>
              <w:t>大雪</w:t>
            </w:r>
          </w:p>
        </w:tc>
        <w:tc>
          <w:tcPr>
            <w:tcW w:type="dxa" w:w="1106"/>
          </w:tcPr>
          <w:p>
            <w:r/>
            <w:r>
              <w:rPr>
                <w:rFonts w:ascii="游ゴシック" w:hAnsi="游ゴシック" w:eastAsia="游ゴシック"/>
                <w:b/>
                <w:sz w:val="17"/>
              </w:rPr>
              <w:t>全国</w:t>
            </w:r>
          </w:p>
        </w:tc>
        <w:tc>
          <w:tcPr>
            <w:tcW w:type="dxa" w:w="1005"/>
          </w:tcPr>
          <w:p>
            <w:r/>
            <w:r>
              <w:rPr>
                <w:rFonts w:ascii="游ゴシック" w:hAnsi="游ゴシック" w:eastAsia="游ゴシック"/>
                <w:b/>
                <w:sz w:val="17"/>
              </w:rPr>
              <w:t>対全国</w:t>
            </w:r>
          </w:p>
        </w:tc>
        <w:tc>
          <w:tcPr>
            <w:tcW w:type="dxa" w:w="3518"/>
          </w:tcPr>
          <w:p>
            <w:r/>
            <w:r>
              <w:rPr>
                <w:rFonts w:ascii="游ゴシック" w:hAnsi="游ゴシック" w:eastAsia="游ゴシック"/>
                <w:b/>
                <w:sz w:val="17"/>
              </w:rPr>
              <w:t>第10期での対応</w:t>
            </w:r>
          </w:p>
        </w:tc>
      </w:tr>
      <w:tr>
        <w:tc>
          <w:tcPr>
            <w:tcW w:type="dxa" w:w="3016"/>
          </w:tcPr>
          <w:p>
            <w:r/>
            <w:r>
              <w:rPr>
                <w:rFonts w:ascii="游ゴシック" w:hAnsi="游ゴシック" w:eastAsia="游ゴシック"/>
                <w:sz w:val="17"/>
              </w:rPr>
              <w:t>推進Ⅰ 持続可能な地域のあるべき姿をかたちにする</w:t>
            </w:r>
          </w:p>
        </w:tc>
        <w:tc>
          <w:tcPr>
            <w:tcW w:type="dxa" w:w="1106"/>
          </w:tcPr>
          <w:p>
            <w:r/>
            <w:r>
              <w:rPr>
                <w:rFonts w:ascii="游ゴシック" w:hAnsi="游ゴシック" w:eastAsia="游ゴシック"/>
                <w:sz w:val="17"/>
              </w:rPr>
              <w:t>40.3点</w:t>
            </w:r>
          </w:p>
        </w:tc>
        <w:tc>
          <w:tcPr>
            <w:tcW w:type="dxa" w:w="1106"/>
          </w:tcPr>
          <w:p>
            <w:r/>
            <w:r>
              <w:rPr>
                <w:rFonts w:ascii="游ゴシック" w:hAnsi="游ゴシック" w:eastAsia="游ゴシック"/>
                <w:sz w:val="17"/>
              </w:rPr>
              <w:t>56.2点</w:t>
            </w:r>
          </w:p>
        </w:tc>
        <w:tc>
          <w:tcPr>
            <w:tcW w:type="dxa" w:w="1005"/>
          </w:tcPr>
          <w:p>
            <w:r/>
            <w:r>
              <w:rPr>
                <w:rFonts w:ascii="游ゴシック" w:hAnsi="游ゴシック" w:eastAsia="游ゴシック"/>
                <w:sz w:val="17"/>
              </w:rPr>
              <w:t>71.7％</w:t>
            </w:r>
          </w:p>
        </w:tc>
        <w:tc>
          <w:tcPr>
            <w:tcW w:type="dxa" w:w="3518"/>
          </w:tcPr>
          <w:p>
            <w:r/>
            <w:r>
              <w:rPr>
                <w:rFonts w:ascii="游ゴシック" w:hAnsi="游ゴシック" w:eastAsia="游ゴシック"/>
                <w:sz w:val="17"/>
              </w:rPr>
              <w:t>年次の進行管理の手順を第1章第6節に明記</w:t>
            </w:r>
          </w:p>
        </w:tc>
      </w:tr>
      <w:tr>
        <w:tc>
          <w:tcPr>
            <w:tcW w:type="dxa" w:w="3016"/>
          </w:tcPr>
          <w:p>
            <w:r/>
            <w:r>
              <w:rPr>
                <w:rFonts w:ascii="游ゴシック" w:hAnsi="游ゴシック" w:eastAsia="游ゴシック"/>
                <w:sz w:val="17"/>
              </w:rPr>
              <w:t>推進Ⅱ 公正・公平な給付を行う体制を構築する</w:t>
            </w:r>
          </w:p>
        </w:tc>
        <w:tc>
          <w:tcPr>
            <w:tcW w:type="dxa" w:w="1106"/>
          </w:tcPr>
          <w:p>
            <w:r/>
            <w:r>
              <w:rPr>
                <w:rFonts w:ascii="游ゴシック" w:hAnsi="游ゴシック" w:eastAsia="游ゴシック"/>
                <w:sz w:val="17"/>
              </w:rPr>
              <w:t>23.3点</w:t>
            </w:r>
          </w:p>
        </w:tc>
        <w:tc>
          <w:tcPr>
            <w:tcW w:type="dxa" w:w="1106"/>
          </w:tcPr>
          <w:p>
            <w:r/>
            <w:r>
              <w:rPr>
                <w:rFonts w:ascii="游ゴシック" w:hAnsi="游ゴシック" w:eastAsia="游ゴシック"/>
                <w:sz w:val="17"/>
              </w:rPr>
              <w:t>59.8点</w:t>
            </w:r>
          </w:p>
        </w:tc>
        <w:tc>
          <w:tcPr>
            <w:tcW w:type="dxa" w:w="1005"/>
          </w:tcPr>
          <w:p>
            <w:r/>
            <w:r>
              <w:rPr>
                <w:rFonts w:ascii="游ゴシック" w:hAnsi="游ゴシック" w:eastAsia="游ゴシック"/>
                <w:sz w:val="17"/>
              </w:rPr>
              <w:t>39.0％</w:t>
            </w:r>
          </w:p>
        </w:tc>
        <w:tc>
          <w:tcPr>
            <w:tcW w:type="dxa" w:w="3518"/>
          </w:tcPr>
          <w:p>
            <w:r/>
            <w:r>
              <w:rPr>
                <w:rFonts w:ascii="游ゴシック" w:hAnsi="游ゴシック" w:eastAsia="游ゴシック"/>
                <w:sz w:val="17"/>
              </w:rPr>
              <w:t>給付適正化を基本目標5に位置づけ、ケアプラン点検等をアウトプット指標とする</w:t>
            </w:r>
          </w:p>
        </w:tc>
      </w:tr>
      <w:tr>
        <w:tc>
          <w:tcPr>
            <w:tcW w:type="dxa" w:w="3016"/>
          </w:tcPr>
          <w:p>
            <w:r/>
            <w:r>
              <w:rPr>
                <w:rFonts w:ascii="游ゴシック" w:hAnsi="游ゴシック" w:eastAsia="游ゴシック"/>
                <w:sz w:val="17"/>
              </w:rPr>
              <w:t>推進Ⅲ 介護人材の確保その他のサービス提供基盤の整備</w:t>
            </w:r>
          </w:p>
        </w:tc>
        <w:tc>
          <w:tcPr>
            <w:tcW w:type="dxa" w:w="1106"/>
          </w:tcPr>
          <w:p>
            <w:r/>
            <w:r>
              <w:rPr>
                <w:rFonts w:ascii="游ゴシック" w:hAnsi="游ゴシック" w:eastAsia="游ゴシック"/>
                <w:sz w:val="17"/>
              </w:rPr>
              <w:t>41.0点</w:t>
            </w:r>
          </w:p>
        </w:tc>
        <w:tc>
          <w:tcPr>
            <w:tcW w:type="dxa" w:w="1106"/>
          </w:tcPr>
          <w:p>
            <w:r/>
            <w:r>
              <w:rPr>
                <w:rFonts w:ascii="游ゴシック" w:hAnsi="游ゴシック" w:eastAsia="游ゴシック"/>
                <w:sz w:val="17"/>
              </w:rPr>
              <w:t>41.0点</w:t>
            </w:r>
          </w:p>
        </w:tc>
        <w:tc>
          <w:tcPr>
            <w:tcW w:type="dxa" w:w="1005"/>
          </w:tcPr>
          <w:p>
            <w:r/>
            <w:r>
              <w:rPr>
                <w:rFonts w:ascii="游ゴシック" w:hAnsi="游ゴシック" w:eastAsia="游ゴシック"/>
                <w:sz w:val="17"/>
              </w:rPr>
              <w:t>100.0％</w:t>
            </w:r>
          </w:p>
        </w:tc>
        <w:tc>
          <w:tcPr>
            <w:tcW w:type="dxa" w:w="3518"/>
          </w:tcPr>
          <w:p>
            <w:r/>
            <w:r>
              <w:rPr>
                <w:rFonts w:ascii="游ゴシック" w:hAnsi="游ゴシック" w:eastAsia="游ゴシック"/>
                <w:sz w:val="17"/>
              </w:rPr>
              <w:t>全国平均と同点。介護支援専門員に対する研修が課題</w:t>
            </w:r>
          </w:p>
        </w:tc>
      </w:tr>
      <w:tr>
        <w:tc>
          <w:tcPr>
            <w:tcW w:type="dxa" w:w="3016"/>
          </w:tcPr>
          <w:p>
            <w:r/>
            <w:r>
              <w:rPr>
                <w:rFonts w:ascii="游ゴシック" w:hAnsi="游ゴシック" w:eastAsia="游ゴシック"/>
                <w:sz w:val="17"/>
              </w:rPr>
              <w:t>支援Ⅰ 介護予防／日常生活支援を推進する</w:t>
            </w:r>
          </w:p>
        </w:tc>
        <w:tc>
          <w:tcPr>
            <w:tcW w:type="dxa" w:w="1106"/>
          </w:tcPr>
          <w:p>
            <w:r/>
            <w:r>
              <w:rPr>
                <w:rFonts w:ascii="游ゴシック" w:hAnsi="游ゴシック" w:eastAsia="游ゴシック"/>
                <w:sz w:val="17"/>
              </w:rPr>
              <w:t>47.3点</w:t>
            </w:r>
          </w:p>
        </w:tc>
        <w:tc>
          <w:tcPr>
            <w:tcW w:type="dxa" w:w="1106"/>
          </w:tcPr>
          <w:p>
            <w:r/>
            <w:r>
              <w:rPr>
                <w:rFonts w:ascii="游ゴシック" w:hAnsi="游ゴシック" w:eastAsia="游ゴシック"/>
                <w:sz w:val="17"/>
              </w:rPr>
              <w:t>51.5点</w:t>
            </w:r>
          </w:p>
        </w:tc>
        <w:tc>
          <w:tcPr>
            <w:tcW w:type="dxa" w:w="1005"/>
          </w:tcPr>
          <w:p>
            <w:r/>
            <w:r>
              <w:rPr>
                <w:rFonts w:ascii="游ゴシック" w:hAnsi="游ゴシック" w:eastAsia="游ゴシック"/>
                <w:sz w:val="17"/>
              </w:rPr>
              <w:t>91.8％</w:t>
            </w:r>
          </w:p>
        </w:tc>
        <w:tc>
          <w:tcPr>
            <w:tcW w:type="dxa" w:w="3518"/>
          </w:tcPr>
          <w:p>
            <w:r/>
            <w:r>
              <w:rPr>
                <w:rFonts w:ascii="游ゴシック" w:hAnsi="游ゴシック" w:eastAsia="游ゴシック"/>
                <w:sz w:val="17"/>
              </w:rPr>
              <w:t>アウトリーチ、地域包括支援センター事業評価が課題</w:t>
            </w:r>
          </w:p>
        </w:tc>
      </w:tr>
      <w:tr>
        <w:tc>
          <w:tcPr>
            <w:tcW w:type="dxa" w:w="3016"/>
          </w:tcPr>
          <w:p>
            <w:r/>
            <w:r>
              <w:rPr>
                <w:rFonts w:ascii="游ゴシック" w:hAnsi="游ゴシック" w:eastAsia="游ゴシック"/>
                <w:sz w:val="17"/>
              </w:rPr>
              <w:t>支援Ⅱ 認知症総合支援を推進する</w:t>
            </w:r>
          </w:p>
        </w:tc>
        <w:tc>
          <w:tcPr>
            <w:tcW w:type="dxa" w:w="1106"/>
          </w:tcPr>
          <w:p>
            <w:r/>
            <w:r>
              <w:rPr>
                <w:rFonts w:ascii="游ゴシック" w:hAnsi="游ゴシック" w:eastAsia="游ゴシック"/>
                <w:sz w:val="17"/>
              </w:rPr>
              <w:t>36.3点</w:t>
            </w:r>
          </w:p>
        </w:tc>
        <w:tc>
          <w:tcPr>
            <w:tcW w:type="dxa" w:w="1106"/>
          </w:tcPr>
          <w:p>
            <w:r/>
            <w:r>
              <w:rPr>
                <w:rFonts w:ascii="游ゴシック" w:hAnsi="游ゴシック" w:eastAsia="游ゴシック"/>
                <w:sz w:val="17"/>
              </w:rPr>
              <w:t>54.5点</w:t>
            </w:r>
          </w:p>
        </w:tc>
        <w:tc>
          <w:tcPr>
            <w:tcW w:type="dxa" w:w="1005"/>
          </w:tcPr>
          <w:p>
            <w:r/>
            <w:r>
              <w:rPr>
                <w:rFonts w:ascii="游ゴシック" w:hAnsi="游ゴシック" w:eastAsia="游ゴシック"/>
                <w:sz w:val="17"/>
              </w:rPr>
              <w:t>66.6％</w:t>
            </w:r>
          </w:p>
        </w:tc>
        <w:tc>
          <w:tcPr>
            <w:tcW w:type="dxa" w:w="3518"/>
          </w:tcPr>
          <w:p>
            <w:r/>
            <w:r>
              <w:rPr>
                <w:rFonts w:ascii="游ゴシック" w:hAnsi="游ゴシック" w:eastAsia="游ゴシック"/>
                <w:sz w:val="17"/>
              </w:rPr>
              <w:t>認知症施策を基本目標2の重点とする</w:t>
            </w:r>
          </w:p>
        </w:tc>
      </w:tr>
      <w:tr>
        <w:tc>
          <w:tcPr>
            <w:tcW w:type="dxa" w:w="3016"/>
          </w:tcPr>
          <w:p>
            <w:r/>
            <w:r>
              <w:rPr>
                <w:rFonts w:ascii="游ゴシック" w:hAnsi="游ゴシック" w:eastAsia="游ゴシック"/>
                <w:sz w:val="17"/>
              </w:rPr>
              <w:t>支援Ⅲ 在宅医療・在宅介護連携の体制を構築する</w:t>
            </w:r>
          </w:p>
        </w:tc>
        <w:tc>
          <w:tcPr>
            <w:tcW w:type="dxa" w:w="1106"/>
          </w:tcPr>
          <w:p>
            <w:r/>
            <w:r>
              <w:rPr>
                <w:rFonts w:ascii="游ゴシック" w:hAnsi="游ゴシック" w:eastAsia="游ゴシック"/>
                <w:sz w:val="17"/>
              </w:rPr>
              <w:t>23.7点</w:t>
            </w:r>
          </w:p>
        </w:tc>
        <w:tc>
          <w:tcPr>
            <w:tcW w:type="dxa" w:w="1106"/>
          </w:tcPr>
          <w:p>
            <w:r/>
            <w:r>
              <w:rPr>
                <w:rFonts w:ascii="游ゴシック" w:hAnsi="游ゴシック" w:eastAsia="游ゴシック"/>
                <w:sz w:val="17"/>
              </w:rPr>
              <w:t>62.1点</w:t>
            </w:r>
          </w:p>
        </w:tc>
        <w:tc>
          <w:tcPr>
            <w:tcW w:type="dxa" w:w="1005"/>
          </w:tcPr>
          <w:p>
            <w:r/>
            <w:r>
              <w:rPr>
                <w:rFonts w:ascii="游ゴシック" w:hAnsi="游ゴシック" w:eastAsia="游ゴシック"/>
                <w:sz w:val="17"/>
              </w:rPr>
              <w:t>38.2％</w:t>
            </w:r>
          </w:p>
        </w:tc>
        <w:tc>
          <w:tcPr>
            <w:tcW w:type="dxa" w:w="3518"/>
          </w:tcPr>
          <w:p>
            <w:r/>
            <w:r>
              <w:rPr>
                <w:rFonts w:ascii="游ゴシック" w:hAnsi="游ゴシック" w:eastAsia="游ゴシック"/>
                <w:sz w:val="17"/>
              </w:rPr>
              <w:t>H09（退院時支援調整実施率）を新設し、入退院支援・看取りの体制を整備</w:t>
            </w:r>
          </w:p>
        </w:tc>
      </w:tr>
      <w:tr>
        <w:tc>
          <w:tcPr>
            <w:tcW w:type="dxa" w:w="3016"/>
          </w:tcPr>
          <w:p>
            <w:r/>
            <w:r>
              <w:rPr>
                <w:rFonts w:ascii="游ゴシック" w:hAnsi="游ゴシック" w:eastAsia="游ゴシック"/>
                <w:sz w:val="17"/>
              </w:rPr>
              <w:t>共通Ⅳ 高齢者が可能な限り自立した日常生活を営む</w:t>
            </w:r>
          </w:p>
        </w:tc>
        <w:tc>
          <w:tcPr>
            <w:tcW w:type="dxa" w:w="1106"/>
          </w:tcPr>
          <w:p>
            <w:r/>
            <w:r>
              <w:rPr>
                <w:rFonts w:ascii="游ゴシック" w:hAnsi="游ゴシック" w:eastAsia="游ゴシック"/>
                <w:sz w:val="17"/>
              </w:rPr>
              <w:t>60.0点</w:t>
            </w:r>
          </w:p>
        </w:tc>
        <w:tc>
          <w:tcPr>
            <w:tcW w:type="dxa" w:w="1106"/>
          </w:tcPr>
          <w:p>
            <w:r/>
            <w:r>
              <w:rPr>
                <w:rFonts w:ascii="游ゴシック" w:hAnsi="游ゴシック" w:eastAsia="游ゴシック"/>
                <w:sz w:val="17"/>
              </w:rPr>
              <w:t>48.6点</w:t>
            </w:r>
          </w:p>
        </w:tc>
        <w:tc>
          <w:tcPr>
            <w:tcW w:type="dxa" w:w="1005"/>
          </w:tcPr>
          <w:p>
            <w:r/>
            <w:r>
              <w:rPr>
                <w:rFonts w:ascii="游ゴシック" w:hAnsi="游ゴシック" w:eastAsia="游ゴシック"/>
                <w:sz w:val="17"/>
              </w:rPr>
              <w:t>123.5％</w:t>
            </w:r>
          </w:p>
        </w:tc>
        <w:tc>
          <w:tcPr>
            <w:tcW w:type="dxa" w:w="3518"/>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026"/>
          </w:tcPr>
          <w:p>
            <w:r/>
            <w:r>
              <w:rPr>
                <w:rFonts w:ascii="游ゴシック" w:hAnsi="游ゴシック" w:eastAsia="游ゴシック"/>
                <w:b/>
                <w:sz w:val="17"/>
              </w:rPr>
              <w:t>目標</w:t>
            </w:r>
          </w:p>
        </w:tc>
        <w:tc>
          <w:tcPr>
            <w:tcW w:type="dxa" w:w="3079"/>
          </w:tcPr>
          <w:p>
            <w:r/>
            <w:r>
              <w:rPr>
                <w:rFonts w:ascii="游ゴシック" w:hAnsi="游ゴシック" w:eastAsia="游ゴシック"/>
                <w:b/>
                <w:sz w:val="17"/>
              </w:rPr>
              <w:t>評価項目</w:t>
            </w:r>
          </w:p>
        </w:tc>
        <w:tc>
          <w:tcPr>
            <w:tcW w:type="dxa" w:w="924"/>
          </w:tcPr>
          <w:p>
            <w:r/>
            <w:r>
              <w:rPr>
                <w:rFonts w:ascii="游ゴシック" w:hAnsi="游ゴシック" w:eastAsia="游ゴシック"/>
                <w:b/>
                <w:sz w:val="17"/>
              </w:rPr>
              <w:t>大雪</w:t>
            </w:r>
          </w:p>
        </w:tc>
        <w:tc>
          <w:tcPr>
            <w:tcW w:type="dxa" w:w="924"/>
          </w:tcPr>
          <w:p>
            <w:r/>
            <w:r>
              <w:rPr>
                <w:rFonts w:ascii="游ゴシック" w:hAnsi="游ゴシック" w:eastAsia="游ゴシック"/>
                <w:b/>
                <w:sz w:val="17"/>
              </w:rPr>
              <w:t>全国</w:t>
            </w:r>
          </w:p>
        </w:tc>
        <w:tc>
          <w:tcPr>
            <w:tcW w:type="dxa" w:w="1026"/>
          </w:tcPr>
          <w:p>
            <w:r/>
            <w:r>
              <w:rPr>
                <w:rFonts w:ascii="游ゴシック" w:hAnsi="游ゴシック" w:eastAsia="游ゴシック"/>
                <w:b/>
                <w:sz w:val="17"/>
              </w:rPr>
              <w:t>対全国</w:t>
            </w:r>
          </w:p>
        </w:tc>
        <w:tc>
          <w:tcPr>
            <w:tcW w:type="dxa" w:w="2771"/>
          </w:tcPr>
          <w:p>
            <w:r/>
            <w:r>
              <w:rPr>
                <w:rFonts w:ascii="游ゴシック" w:hAnsi="游ゴシック" w:eastAsia="游ゴシック"/>
                <w:b/>
                <w:sz w:val="17"/>
              </w:rPr>
              <w:t>備考</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生活支援コーディネーター数</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206.2％</w:t>
            </w:r>
          </w:p>
        </w:tc>
        <w:tc>
          <w:tcPr>
            <w:tcW w:type="dxa" w:w="2771"/>
          </w:tcPr>
          <w:p>
            <w:r/>
            <w:r>
              <w:rPr>
                <w:rFonts w:ascii="游ゴシック" w:hAnsi="游ゴシック" w:eastAsia="游ゴシック"/>
                <w:sz w:val="17"/>
              </w:rPr>
              <w:t>北海道の評価指標②が対象とする分野の強み</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長期的な要介護度の変化（要介護3～5）</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8.0点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長期的な要介護度の変化（要介護1・2）</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8.1点</w:t>
            </w:r>
          </w:p>
        </w:tc>
        <w:tc>
          <w:tcPr>
            <w:tcW w:type="dxa" w:w="1026"/>
          </w:tcPr>
          <w:p>
            <w:r/>
            <w:r>
              <w:rPr>
                <w:rFonts w:ascii="游ゴシック" w:hAnsi="游ゴシック" w:eastAsia="游ゴシック"/>
                <w:sz w:val="17"/>
              </w:rPr>
              <w:t>185.2％</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地域ケア会議における個別事例の検討</w:t>
            </w:r>
          </w:p>
        </w:tc>
        <w:tc>
          <w:tcPr>
            <w:tcW w:type="dxa" w:w="924"/>
          </w:tcPr>
          <w:p>
            <w:r/>
            <w:r>
              <w:rPr>
                <w:rFonts w:ascii="游ゴシック" w:hAnsi="游ゴシック" w:eastAsia="游ゴシック"/>
                <w:sz w:val="17"/>
              </w:rPr>
              <w:t>3.0点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北海道の評価指標①が対象とする分野の強み</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通いの場等における心身・認知機能の把握</w:t>
            </w:r>
          </w:p>
        </w:tc>
        <w:tc>
          <w:tcPr>
            <w:tcW w:type="dxa" w:w="924"/>
          </w:tcPr>
          <w:p>
            <w:r/>
            <w:r>
              <w:rPr>
                <w:rFonts w:ascii="游ゴシック" w:hAnsi="游ゴシック" w:eastAsia="游ゴシック"/>
                <w:sz w:val="17"/>
              </w:rPr>
              <w:t>1.7点</w:t>
            </w:r>
          </w:p>
        </w:tc>
        <w:tc>
          <w:tcPr>
            <w:tcW w:type="dxa" w:w="924"/>
          </w:tcPr>
          <w:p>
            <w:r/>
            <w:r>
              <w:rPr>
                <w:rFonts w:ascii="游ゴシック" w:hAnsi="游ゴシック" w:eastAsia="游ゴシック"/>
                <w:sz w:val="17"/>
              </w:rPr>
              <w:t>1.1点</w:t>
            </w:r>
          </w:p>
        </w:tc>
        <w:tc>
          <w:tcPr>
            <w:tcW w:type="dxa" w:w="1026"/>
          </w:tcPr>
          <w:p>
            <w:r/>
            <w:r>
              <w:rPr>
                <w:rFonts w:ascii="游ゴシック" w:hAnsi="游ゴシック" w:eastAsia="游ゴシック"/>
                <w:sz w:val="17"/>
              </w:rPr>
              <w:t>154.5％</w:t>
            </w:r>
          </w:p>
        </w:tc>
        <w:tc>
          <w:tcPr>
            <w:tcW w:type="dxa" w:w="2771"/>
          </w:tcPr>
          <w:p>
            <w:r/>
            <w:r>
              <w:rPr>
                <w:rFonts w:ascii="游ゴシック" w:hAnsi="游ゴシック" w:eastAsia="游ゴシック"/>
                <w:sz w:val="17"/>
              </w:rPr>
              <w:t>通いの場は3箇所だが運営の質は評価されている</w:t>
            </w:r>
          </w:p>
        </w:tc>
      </w:tr>
      <w:tr>
        <w:tc>
          <w:tcPr>
            <w:tcW w:type="dxa" w:w="1026"/>
          </w:tcPr>
          <w:p>
            <w:r/>
            <w:r>
              <w:rPr>
                <w:rFonts w:ascii="游ゴシック" w:hAnsi="游ゴシック" w:eastAsia="游ゴシック"/>
                <w:sz w:val="17"/>
              </w:rPr>
              <w:t>推進Ⅰ</w:t>
            </w:r>
          </w:p>
        </w:tc>
        <w:tc>
          <w:tcPr>
            <w:tcW w:type="dxa" w:w="3079"/>
          </w:tcPr>
          <w:p>
            <w:r/>
            <w:r>
              <w:rPr>
                <w:rFonts w:ascii="游ゴシック" w:hAnsi="游ゴシック" w:eastAsia="游ゴシック"/>
                <w:sz w:val="17"/>
              </w:rPr>
              <w:t>後期高齢者数と給付費の伸び率の比較</w:t>
            </w:r>
          </w:p>
        </w:tc>
        <w:tc>
          <w:tcPr>
            <w:tcW w:type="dxa" w:w="924"/>
          </w:tcPr>
          <w:p>
            <w:r/>
            <w:r>
              <w:rPr>
                <w:rFonts w:ascii="游ゴシック" w:hAnsi="游ゴシック" w:eastAsia="游ゴシック"/>
                <w:sz w:val="17"/>
              </w:rPr>
              <w:t>7.0点</w:t>
            </w:r>
          </w:p>
        </w:tc>
        <w:tc>
          <w:tcPr>
            <w:tcW w:type="dxa" w:w="924"/>
          </w:tcPr>
          <w:p>
            <w:r/>
            <w:r>
              <w:rPr>
                <w:rFonts w:ascii="游ゴシック" w:hAnsi="游ゴシック" w:eastAsia="游ゴシック"/>
                <w:sz w:val="17"/>
              </w:rPr>
              <w:t>4.8点</w:t>
            </w:r>
          </w:p>
        </w:tc>
        <w:tc>
          <w:tcPr>
            <w:tcW w:type="dxa" w:w="1026"/>
          </w:tcPr>
          <w:p>
            <w:r/>
            <w:r>
              <w:rPr>
                <w:rFonts w:ascii="游ゴシック" w:hAnsi="游ゴシック" w:eastAsia="游ゴシック"/>
                <w:sz w:val="17"/>
              </w:rPr>
              <w:t>145.8％</w:t>
            </w:r>
          </w:p>
        </w:tc>
        <w:tc>
          <w:tcPr>
            <w:tcW w:type="dxa" w:w="2771"/>
          </w:tcPr>
          <w:p>
            <w:r/>
            <w:r>
              <w:rPr>
                <w:rFonts w:ascii="游ゴシック" w:hAnsi="游ゴシック" w:eastAsia="游ゴシック"/>
                <w:sz w:val="17"/>
              </w:rPr>
              <w:t>給付費の分析そのものは行われている</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総合事業における多様なサービスの実施</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2.3点</w:t>
            </w:r>
          </w:p>
        </w:tc>
        <w:tc>
          <w:tcPr>
            <w:tcW w:type="dxa" w:w="1026"/>
          </w:tcPr>
          <w:p>
            <w:r/>
            <w:r>
              <w:rPr>
                <w:rFonts w:ascii="游ゴシック" w:hAnsi="游ゴシック" w:eastAsia="游ゴシック"/>
                <w:sz w:val="17"/>
              </w:rPr>
              <w:t>143.5％</w:t>
            </w:r>
          </w:p>
        </w:tc>
        <w:tc>
          <w:tcPr>
            <w:tcW w:type="dxa" w:w="2771"/>
          </w:tcPr>
          <w:p>
            <w:r/>
            <w:r>
              <w:rPr>
                <w:rFonts w:ascii="游ゴシック" w:hAnsi="游ゴシック" w:eastAsia="游ゴシック"/>
                <w:sz w:val="17"/>
              </w:rPr>
              <w:t>北海道の評価指標②と整合</w:t>
            </w:r>
          </w:p>
        </w:tc>
      </w:tr>
      <w:tr>
        <w:tc>
          <w:tcPr>
            <w:tcW w:type="dxa" w:w="1026"/>
          </w:tcPr>
          <w:p>
            <w:r/>
            <w:r>
              <w:rPr>
                <w:rFonts w:ascii="游ゴシック" w:hAnsi="游ゴシック" w:eastAsia="游ゴシック"/>
                <w:sz w:val="17"/>
              </w:rPr>
              <w:t>推進Ⅲ</w:t>
            </w:r>
          </w:p>
        </w:tc>
        <w:tc>
          <w:tcPr>
            <w:tcW w:type="dxa" w:w="3079"/>
          </w:tcPr>
          <w:p>
            <w:r/>
            <w:r>
              <w:rPr>
                <w:rFonts w:ascii="游ゴシック" w:hAnsi="游ゴシック" w:eastAsia="游ゴシック"/>
                <w:sz w:val="17"/>
              </w:rPr>
              <w:t>庁内・庁外における連携体制</w:t>
            </w:r>
          </w:p>
        </w:tc>
        <w:tc>
          <w:tcPr>
            <w:tcW w:type="dxa" w:w="924"/>
          </w:tcPr>
          <w:p>
            <w:r/>
            <w:r>
              <w:rPr>
                <w:rFonts w:ascii="游ゴシック" w:hAnsi="游ゴシック" w:eastAsia="游ゴシック"/>
                <w:sz w:val="17"/>
              </w:rPr>
              <w:t>24.0点</w:t>
            </w:r>
          </w:p>
        </w:tc>
        <w:tc>
          <w:tcPr>
            <w:tcW w:type="dxa" w:w="924"/>
          </w:tcPr>
          <w:p>
            <w:r/>
            <w:r>
              <w:rPr>
                <w:rFonts w:ascii="游ゴシック" w:hAnsi="游ゴシック" w:eastAsia="游ゴシック"/>
                <w:sz w:val="17"/>
              </w:rPr>
              <w:t>18.9点</w:t>
            </w:r>
          </w:p>
        </w:tc>
        <w:tc>
          <w:tcPr>
            <w:tcW w:type="dxa" w:w="1026"/>
          </w:tcPr>
          <w:p>
            <w:r/>
            <w:r>
              <w:rPr>
                <w:rFonts w:ascii="游ゴシック" w:hAnsi="游ゴシック" w:eastAsia="游ゴシック"/>
                <w:sz w:val="17"/>
              </w:rPr>
              <w:t>127.0％</w:t>
            </w:r>
          </w:p>
        </w:tc>
        <w:tc>
          <w:tcPr>
            <w:tcW w:type="dxa" w:w="277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191"/>
          </w:tcPr>
          <w:p>
            <w:r/>
            <w:r>
              <w:rPr>
                <w:rFonts w:ascii="游ゴシック" w:hAnsi="游ゴシック" w:eastAsia="游ゴシック"/>
                <w:b/>
                <w:sz w:val="17"/>
              </w:rPr>
              <w:t>施策</w:t>
            </w:r>
          </w:p>
        </w:tc>
        <w:tc>
          <w:tcPr>
            <w:tcW w:type="dxa" w:w="1205"/>
          </w:tcPr>
          <w:p>
            <w:r/>
            <w:r>
              <w:rPr>
                <w:rFonts w:ascii="游ゴシック" w:hAnsi="游ゴシック" w:eastAsia="游ゴシック"/>
                <w:b/>
                <w:sz w:val="17"/>
              </w:rPr>
              <w:t>評価可能性</w:t>
            </w:r>
          </w:p>
        </w:tc>
        <w:tc>
          <w:tcPr>
            <w:tcW w:type="dxa" w:w="1534"/>
          </w:tcPr>
          <w:p>
            <w:r/>
            <w:r>
              <w:rPr>
                <w:rFonts w:ascii="游ゴシック" w:hAnsi="游ゴシック" w:eastAsia="游ゴシック"/>
                <w:b/>
                <w:sz w:val="17"/>
              </w:rPr>
              <w:t>妥当性判断</w:t>
            </w:r>
          </w:p>
        </w:tc>
        <w:tc>
          <w:tcPr>
            <w:tcW w:type="dxa" w:w="4054"/>
          </w:tcPr>
          <w:p>
            <w:r/>
            <w:r>
              <w:rPr>
                <w:rFonts w:ascii="游ゴシック" w:hAnsi="游ゴシック" w:eastAsia="游ゴシック"/>
                <w:b/>
                <w:sz w:val="17"/>
              </w:rPr>
              <w:t>第10期の修正方向</w:t>
            </w:r>
          </w:p>
        </w:tc>
      </w:tr>
      <w:tr>
        <w:tc>
          <w:tcPr>
            <w:tcW w:type="dxa" w:w="767"/>
          </w:tcPr>
          <w:p>
            <w:r/>
            <w:r>
              <w:rPr>
                <w:rFonts w:ascii="游ゴシック" w:hAnsi="游ゴシック" w:eastAsia="游ゴシック"/>
                <w:sz w:val="17"/>
              </w:rPr>
              <w:t>1-1</w:t>
            </w:r>
          </w:p>
        </w:tc>
        <w:tc>
          <w:tcPr>
            <w:tcW w:type="dxa" w:w="2191"/>
          </w:tcPr>
          <w:p>
            <w:r/>
            <w:r>
              <w:rPr>
                <w:rFonts w:ascii="游ゴシック" w:hAnsi="游ゴシック" w:eastAsia="游ゴシック"/>
                <w:sz w:val="17"/>
              </w:rPr>
              <w:t>圏域ビジョン・戦略</w:t>
            </w:r>
          </w:p>
        </w:tc>
        <w:tc>
          <w:tcPr>
            <w:tcW w:type="dxa" w:w="1205"/>
          </w:tcPr>
          <w:p>
            <w:r/>
            <w:r>
              <w:rPr>
                <w:rFonts w:ascii="游ゴシック" w:hAnsi="游ゴシック" w:eastAsia="游ゴシック"/>
                <w:sz w:val="17"/>
              </w:rPr>
              <w:t>部分評価</w:t>
            </w:r>
          </w:p>
        </w:tc>
        <w:tc>
          <w:tcPr>
            <w:tcW w:type="dxa" w:w="1534"/>
          </w:tcPr>
          <w:p>
            <w:r/>
            <w:r>
              <w:rPr>
                <w:rFonts w:ascii="游ゴシック" w:hAnsi="游ゴシック" w:eastAsia="游ゴシック"/>
                <w:sz w:val="17"/>
              </w:rPr>
              <w:t>必要性は高い</w:t>
            </w:r>
          </w:p>
        </w:tc>
        <w:tc>
          <w:tcPr>
            <w:tcW w:type="dxa" w:w="4054"/>
          </w:tcPr>
          <w:p>
            <w:r/>
            <w:r>
              <w:rPr>
                <w:rFonts w:ascii="游ゴシック" w:hAnsi="游ゴシック" w:eastAsia="游ゴシック"/>
                <w:sz w:val="17"/>
              </w:rPr>
              <w:t>2040年需要・供給と町別役割を具体化</w:t>
            </w:r>
          </w:p>
        </w:tc>
      </w:tr>
      <w:tr>
        <w:tc>
          <w:tcPr>
            <w:tcW w:type="dxa" w:w="767"/>
          </w:tcPr>
          <w:p>
            <w:r/>
            <w:r>
              <w:rPr>
                <w:rFonts w:ascii="游ゴシック" w:hAnsi="游ゴシック" w:eastAsia="游ゴシック"/>
                <w:sz w:val="17"/>
              </w:rPr>
              <w:t>1-2</w:t>
            </w:r>
          </w:p>
        </w:tc>
        <w:tc>
          <w:tcPr>
            <w:tcW w:type="dxa" w:w="2191"/>
          </w:tcPr>
          <w:p>
            <w:r/>
            <w:r>
              <w:rPr>
                <w:rFonts w:ascii="游ゴシック" w:hAnsi="游ゴシック" w:eastAsia="游ゴシック"/>
                <w:sz w:val="17"/>
              </w:rPr>
              <w:t>医療・介護連携</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必要性は高い</w:t>
            </w:r>
          </w:p>
        </w:tc>
        <w:tc>
          <w:tcPr>
            <w:tcW w:type="dxa" w:w="4054"/>
          </w:tcPr>
          <w:p>
            <w:r/>
            <w:r>
              <w:rPr>
                <w:rFonts w:ascii="游ゴシック" w:hAnsi="游ゴシック" w:eastAsia="游ゴシック"/>
                <w:sz w:val="17"/>
              </w:rPr>
              <w:t>4場面別成果KPIを新設。交付金評価で全国の38.2％（第4節）</w:t>
            </w:r>
          </w:p>
        </w:tc>
      </w:tr>
      <w:tr>
        <w:tc>
          <w:tcPr>
            <w:tcW w:type="dxa" w:w="767"/>
          </w:tcPr>
          <w:p>
            <w:r/>
            <w:r>
              <w:rPr>
                <w:rFonts w:ascii="游ゴシック" w:hAnsi="游ゴシック" w:eastAsia="游ゴシック"/>
                <w:sz w:val="17"/>
              </w:rPr>
              <w:t>1-3</w:t>
            </w:r>
          </w:p>
        </w:tc>
        <w:tc>
          <w:tcPr>
            <w:tcW w:type="dxa" w:w="2191"/>
          </w:tcPr>
          <w:p>
            <w:r/>
            <w:r>
              <w:rPr>
                <w:rFonts w:ascii="游ゴシック" w:hAnsi="游ゴシック" w:eastAsia="游ゴシック"/>
                <w:sz w:val="17"/>
              </w:rPr>
              <w:t>状態に応じたサービス</w:t>
            </w:r>
          </w:p>
        </w:tc>
        <w:tc>
          <w:tcPr>
            <w:tcW w:type="dxa" w:w="1205"/>
          </w:tcPr>
          <w:p>
            <w:r/>
            <w:r>
              <w:rPr>
                <w:rFonts w:ascii="游ゴシック" w:hAnsi="游ゴシック" w:eastAsia="游ゴシック"/>
                <w:sz w:val="17"/>
              </w:rPr>
              <w:t>部分評価</w:t>
            </w:r>
          </w:p>
        </w:tc>
        <w:tc>
          <w:tcPr>
            <w:tcW w:type="dxa" w:w="1534"/>
          </w:tcPr>
          <w:p>
            <w:r/>
            <w:r>
              <w:rPr>
                <w:rFonts w:ascii="游ゴシック" w:hAnsi="游ゴシック" w:eastAsia="游ゴシック"/>
                <w:sz w:val="17"/>
              </w:rPr>
              <w:t>需要・供給判別が必要</w:t>
            </w:r>
          </w:p>
        </w:tc>
        <w:tc>
          <w:tcPr>
            <w:tcW w:type="dxa" w:w="4054"/>
          </w:tcPr>
          <w:p>
            <w:r/>
            <w:r>
              <w:rPr>
                <w:rFonts w:ascii="游ゴシック" w:hAnsi="游ゴシック" w:eastAsia="游ゴシック"/>
                <w:sz w:val="17"/>
              </w:rPr>
              <w:t>未充足・受入不可・供給余力を併記。事業所ゼロ11種別を明示</w:t>
            </w:r>
          </w:p>
        </w:tc>
      </w:tr>
      <w:tr>
        <w:tc>
          <w:tcPr>
            <w:tcW w:type="dxa" w:w="767"/>
          </w:tcPr>
          <w:p>
            <w:r/>
            <w:r>
              <w:rPr>
                <w:rFonts w:ascii="游ゴシック" w:hAnsi="游ゴシック" w:eastAsia="游ゴシック"/>
                <w:sz w:val="17"/>
              </w:rPr>
              <w:t>1-4</w:t>
            </w:r>
          </w:p>
        </w:tc>
        <w:tc>
          <w:tcPr>
            <w:tcW w:type="dxa" w:w="2191"/>
          </w:tcPr>
          <w:p>
            <w:r/>
            <w:r>
              <w:rPr>
                <w:rFonts w:ascii="游ゴシック" w:hAnsi="游ゴシック" w:eastAsia="游ゴシック"/>
                <w:sz w:val="17"/>
              </w:rPr>
              <w:t>虐待防止・権利擁護</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継続妥当</w:t>
            </w:r>
          </w:p>
        </w:tc>
        <w:tc>
          <w:tcPr>
            <w:tcW w:type="dxa" w:w="4054"/>
          </w:tcPr>
          <w:p>
            <w:r/>
            <w:r>
              <w:rPr>
                <w:rFonts w:ascii="游ゴシック" w:hAnsi="游ゴシック" w:eastAsia="游ゴシック"/>
                <w:sz w:val="17"/>
              </w:rPr>
              <w:t>初動・終結・再発・後見接続を管理</w:t>
            </w:r>
          </w:p>
        </w:tc>
      </w:tr>
      <w:tr>
        <w:tc>
          <w:tcPr>
            <w:tcW w:type="dxa" w:w="767"/>
          </w:tcPr>
          <w:p>
            <w:r/>
            <w:r>
              <w:rPr>
                <w:rFonts w:ascii="游ゴシック" w:hAnsi="游ゴシック" w:eastAsia="游ゴシック"/>
                <w:sz w:val="17"/>
              </w:rPr>
              <w:t>2-1</w:t>
            </w:r>
          </w:p>
        </w:tc>
        <w:tc>
          <w:tcPr>
            <w:tcW w:type="dxa" w:w="2191"/>
          </w:tcPr>
          <w:p>
            <w:r/>
            <w:r>
              <w:rPr>
                <w:rFonts w:ascii="游ゴシック" w:hAnsi="游ゴシック" w:eastAsia="游ゴシック"/>
                <w:sz w:val="17"/>
              </w:rPr>
              <w:t>地域共生・包括相談</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継続妥当</w:t>
            </w:r>
          </w:p>
        </w:tc>
        <w:tc>
          <w:tcPr>
            <w:tcW w:type="dxa" w:w="4054"/>
          </w:tcPr>
          <w:p>
            <w:r/>
            <w:r>
              <w:rPr>
                <w:rFonts w:ascii="游ゴシック" w:hAnsi="游ゴシック" w:eastAsia="游ゴシック"/>
                <w:sz w:val="17"/>
              </w:rPr>
              <w:t>初動、解決、連携成果を管理</w:t>
            </w:r>
          </w:p>
        </w:tc>
      </w:tr>
      <w:tr>
        <w:tc>
          <w:tcPr>
            <w:tcW w:type="dxa" w:w="767"/>
          </w:tcPr>
          <w:p>
            <w:r/>
            <w:r>
              <w:rPr>
                <w:rFonts w:ascii="游ゴシック" w:hAnsi="游ゴシック" w:eastAsia="游ゴシック"/>
                <w:sz w:val="17"/>
              </w:rPr>
              <w:t>2-2</w:t>
            </w:r>
          </w:p>
        </w:tc>
        <w:tc>
          <w:tcPr>
            <w:tcW w:type="dxa" w:w="2191"/>
          </w:tcPr>
          <w:p>
            <w:r/>
            <w:r>
              <w:rPr>
                <w:rFonts w:ascii="游ゴシック" w:hAnsi="游ゴシック" w:eastAsia="游ゴシック"/>
                <w:sz w:val="17"/>
              </w:rPr>
              <w:t>介護予防・生活支援</w:t>
            </w:r>
          </w:p>
        </w:tc>
        <w:tc>
          <w:tcPr>
            <w:tcW w:type="dxa" w:w="1205"/>
          </w:tcPr>
          <w:p>
            <w:r/>
            <w:r>
              <w:rPr>
                <w:rFonts w:ascii="游ゴシック" w:hAnsi="游ゴシック" w:eastAsia="游ゴシック"/>
                <w:sz w:val="17"/>
              </w:rPr>
              <w:t>部分評価</w:t>
            </w:r>
          </w:p>
        </w:tc>
        <w:tc>
          <w:tcPr>
            <w:tcW w:type="dxa" w:w="1534"/>
          </w:tcPr>
          <w:p>
            <w:r/>
            <w:r>
              <w:rPr>
                <w:rFonts w:ascii="游ゴシック" w:hAnsi="游ゴシック" w:eastAsia="游ゴシック"/>
                <w:sz w:val="17"/>
              </w:rPr>
              <w:t>重点化が妥当</w:t>
            </w:r>
          </w:p>
        </w:tc>
        <w:tc>
          <w:tcPr>
            <w:tcW w:type="dxa" w:w="4054"/>
          </w:tcPr>
          <w:p>
            <w:r/>
            <w:r>
              <w:rPr>
                <w:rFonts w:ascii="游ゴシック" w:hAnsi="游ゴシック" w:eastAsia="游ゴシック"/>
                <w:sz w:val="17"/>
              </w:rPr>
              <w:t>実人数・継続・地区カバーへ転換。総合事業ベースで全国の31％</w:t>
            </w:r>
          </w:p>
        </w:tc>
      </w:tr>
      <w:tr>
        <w:tc>
          <w:tcPr>
            <w:tcW w:type="dxa" w:w="767"/>
          </w:tcPr>
          <w:p>
            <w:r/>
            <w:r>
              <w:rPr>
                <w:rFonts w:ascii="游ゴシック" w:hAnsi="游ゴシック" w:eastAsia="游ゴシック"/>
                <w:sz w:val="17"/>
              </w:rPr>
              <w:t>2-3</w:t>
            </w:r>
          </w:p>
        </w:tc>
        <w:tc>
          <w:tcPr>
            <w:tcW w:type="dxa" w:w="2191"/>
          </w:tcPr>
          <w:p>
            <w:r/>
            <w:r>
              <w:rPr>
                <w:rFonts w:ascii="游ゴシック" w:hAnsi="游ゴシック" w:eastAsia="游ゴシック"/>
                <w:sz w:val="17"/>
              </w:rPr>
              <w:t>認知症施策</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重点化が妥当</w:t>
            </w:r>
          </w:p>
        </w:tc>
        <w:tc>
          <w:tcPr>
            <w:tcW w:type="dxa" w:w="4054"/>
          </w:tcPr>
          <w:p>
            <w:r/>
            <w:r>
              <w:rPr>
                <w:rFonts w:ascii="游ゴシック" w:hAnsi="游ゴシック" w:eastAsia="游ゴシック"/>
                <w:sz w:val="17"/>
              </w:rPr>
              <w:t>本人参画・早期接続・家族負担。交付金評価で全国の66.6％</w:t>
            </w:r>
          </w:p>
        </w:tc>
      </w:tr>
      <w:tr>
        <w:tc>
          <w:tcPr>
            <w:tcW w:type="dxa" w:w="767"/>
          </w:tcPr>
          <w:p>
            <w:r/>
            <w:r>
              <w:rPr>
                <w:rFonts w:ascii="游ゴシック" w:hAnsi="游ゴシック" w:eastAsia="游ゴシック"/>
                <w:sz w:val="17"/>
              </w:rPr>
              <w:t>2-4</w:t>
            </w:r>
          </w:p>
        </w:tc>
        <w:tc>
          <w:tcPr>
            <w:tcW w:type="dxa" w:w="2191"/>
          </w:tcPr>
          <w:p>
            <w:r/>
            <w:r>
              <w:rPr>
                <w:rFonts w:ascii="游ゴシック" w:hAnsi="游ゴシック" w:eastAsia="游ゴシック"/>
                <w:sz w:val="17"/>
              </w:rPr>
              <w:t>住まい・生活支援</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独立強化が妥当</w:t>
            </w:r>
          </w:p>
        </w:tc>
        <w:tc>
          <w:tcPr>
            <w:tcW w:type="dxa" w:w="4054"/>
          </w:tcPr>
          <w:p>
            <w:r/>
            <w:r>
              <w:rPr>
                <w:rFonts w:ascii="游ゴシック" w:hAnsi="游ゴシック" w:eastAsia="游ゴシック"/>
                <w:sz w:val="17"/>
              </w:rPr>
              <w:t>身寄りなし・保証・住替え課題</w:t>
            </w:r>
          </w:p>
        </w:tc>
      </w:tr>
      <w:tr>
        <w:tc>
          <w:tcPr>
            <w:tcW w:type="dxa" w:w="767"/>
          </w:tcPr>
          <w:p>
            <w:r/>
            <w:r>
              <w:rPr>
                <w:rFonts w:ascii="游ゴシック" w:hAnsi="游ゴシック" w:eastAsia="游ゴシック"/>
                <w:sz w:val="17"/>
              </w:rPr>
              <w:t>2-5</w:t>
            </w:r>
          </w:p>
        </w:tc>
        <w:tc>
          <w:tcPr>
            <w:tcW w:type="dxa" w:w="2191"/>
          </w:tcPr>
          <w:p>
            <w:r/>
            <w:r>
              <w:rPr>
                <w:rFonts w:ascii="游ゴシック" w:hAnsi="游ゴシック" w:eastAsia="游ゴシック"/>
                <w:sz w:val="17"/>
              </w:rPr>
              <w:t>地域ケア会議</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方法改善が必要</w:t>
            </w:r>
          </w:p>
        </w:tc>
        <w:tc>
          <w:tcPr>
            <w:tcW w:type="dxa" w:w="4054"/>
          </w:tcPr>
          <w:p>
            <w:r/>
            <w:r>
              <w:rPr>
                <w:rFonts w:ascii="游ゴシック" w:hAnsi="游ゴシック" w:eastAsia="游ゴシック"/>
                <w:sz w:val="17"/>
              </w:rPr>
              <w:t>会議から施策化への転換率。個別事例の検討は全国の187.5％と強み</w:t>
            </w:r>
          </w:p>
        </w:tc>
      </w:tr>
      <w:tr>
        <w:tc>
          <w:tcPr>
            <w:tcW w:type="dxa" w:w="767"/>
          </w:tcPr>
          <w:p>
            <w:r/>
            <w:r>
              <w:rPr>
                <w:rFonts w:ascii="游ゴシック" w:hAnsi="游ゴシック" w:eastAsia="游ゴシック"/>
                <w:sz w:val="17"/>
              </w:rPr>
              <w:t>2-6</w:t>
            </w:r>
          </w:p>
        </w:tc>
        <w:tc>
          <w:tcPr>
            <w:tcW w:type="dxa" w:w="2191"/>
          </w:tcPr>
          <w:p>
            <w:r/>
            <w:r>
              <w:rPr>
                <w:rFonts w:ascii="游ゴシック" w:hAnsi="游ゴシック" w:eastAsia="游ゴシック"/>
                <w:sz w:val="17"/>
              </w:rPr>
              <w:t>包括的支援体制</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継続妥当</w:t>
            </w:r>
          </w:p>
        </w:tc>
        <w:tc>
          <w:tcPr>
            <w:tcW w:type="dxa" w:w="4054"/>
          </w:tcPr>
          <w:p>
            <w:r/>
            <w:r>
              <w:rPr>
                <w:rFonts w:ascii="游ゴシック" w:hAnsi="游ゴシック" w:eastAsia="游ゴシック"/>
                <w:sz w:val="17"/>
              </w:rPr>
              <w:t>人員・アクセス・支援成果を一体評価</w:t>
            </w:r>
          </w:p>
        </w:tc>
      </w:tr>
      <w:tr>
        <w:tc>
          <w:tcPr>
            <w:tcW w:type="dxa" w:w="767"/>
          </w:tcPr>
          <w:p>
            <w:r/>
            <w:r>
              <w:rPr>
                <w:rFonts w:ascii="游ゴシック" w:hAnsi="游ゴシック" w:eastAsia="游ゴシック"/>
                <w:sz w:val="17"/>
              </w:rPr>
              <w:t>3-1</w:t>
            </w:r>
          </w:p>
        </w:tc>
        <w:tc>
          <w:tcPr>
            <w:tcW w:type="dxa" w:w="2191"/>
          </w:tcPr>
          <w:p>
            <w:r/>
            <w:r>
              <w:rPr>
                <w:rFonts w:ascii="游ゴシック" w:hAnsi="游ゴシック" w:eastAsia="游ゴシック"/>
                <w:sz w:val="17"/>
              </w:rPr>
              <w:t>健康づくり・フレイル予防</w:t>
            </w:r>
          </w:p>
        </w:tc>
        <w:tc>
          <w:tcPr>
            <w:tcW w:type="dxa" w:w="1205"/>
          </w:tcPr>
          <w:p>
            <w:r/>
            <w:r>
              <w:rPr>
                <w:rFonts w:ascii="游ゴシック" w:hAnsi="游ゴシック" w:eastAsia="游ゴシック"/>
                <w:sz w:val="17"/>
              </w:rPr>
              <w:t>部分評価</w:t>
            </w:r>
          </w:p>
        </w:tc>
        <w:tc>
          <w:tcPr>
            <w:tcW w:type="dxa" w:w="1534"/>
          </w:tcPr>
          <w:p>
            <w:r/>
            <w:r>
              <w:rPr>
                <w:rFonts w:ascii="游ゴシック" w:hAnsi="游ゴシック" w:eastAsia="游ゴシック"/>
                <w:sz w:val="17"/>
              </w:rPr>
              <w:t>重点化が妥当</w:t>
            </w:r>
          </w:p>
        </w:tc>
        <w:tc>
          <w:tcPr>
            <w:tcW w:type="dxa" w:w="4054"/>
          </w:tcPr>
          <w:p>
            <w:r/>
            <w:r>
              <w:rPr>
                <w:rFonts w:ascii="游ゴシック" w:hAnsi="游ゴシック" w:eastAsia="游ゴシック"/>
                <w:sz w:val="17"/>
              </w:rPr>
              <w:t>年次代理＋調査アウトカム</w:t>
            </w:r>
          </w:p>
        </w:tc>
      </w:tr>
      <w:tr>
        <w:tc>
          <w:tcPr>
            <w:tcW w:type="dxa" w:w="767"/>
          </w:tcPr>
          <w:p>
            <w:r/>
            <w:r>
              <w:rPr>
                <w:rFonts w:ascii="游ゴシック" w:hAnsi="游ゴシック" w:eastAsia="游ゴシック"/>
                <w:sz w:val="17"/>
              </w:rPr>
              <w:t>3-2</w:t>
            </w:r>
          </w:p>
        </w:tc>
        <w:tc>
          <w:tcPr>
            <w:tcW w:type="dxa" w:w="2191"/>
          </w:tcPr>
          <w:p>
            <w:r/>
            <w:r>
              <w:rPr>
                <w:rFonts w:ascii="游ゴシック" w:hAnsi="游ゴシック" w:eastAsia="游ゴシック"/>
                <w:sz w:val="17"/>
              </w:rPr>
              <w:t>リハビリ体制</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継続・改善妥当</w:t>
            </w:r>
          </w:p>
        </w:tc>
        <w:tc>
          <w:tcPr>
            <w:tcW w:type="dxa" w:w="4054"/>
          </w:tcPr>
          <w:p>
            <w:r/>
            <w:r>
              <w:rPr>
                <w:rFonts w:ascii="游ゴシック" w:hAnsi="游ゴシック" w:eastAsia="游ゴシック"/>
                <w:sz w:val="17"/>
              </w:rPr>
              <w:t>生活機能維持改善・卒業を評価。機能訓練指導員は1人（第2章第3節）</w:t>
            </w:r>
          </w:p>
        </w:tc>
      </w:tr>
      <w:tr>
        <w:tc>
          <w:tcPr>
            <w:tcW w:type="dxa" w:w="767"/>
          </w:tcPr>
          <w:p>
            <w:r/>
            <w:r>
              <w:rPr>
                <w:rFonts w:ascii="游ゴシック" w:hAnsi="游ゴシック" w:eastAsia="游ゴシック"/>
                <w:sz w:val="17"/>
              </w:rPr>
              <w:t>3-3</w:t>
            </w:r>
          </w:p>
        </w:tc>
        <w:tc>
          <w:tcPr>
            <w:tcW w:type="dxa" w:w="2191"/>
          </w:tcPr>
          <w:p>
            <w:r/>
            <w:r>
              <w:rPr>
                <w:rFonts w:ascii="游ゴシック" w:hAnsi="游ゴシック" w:eastAsia="游ゴシック"/>
                <w:sz w:val="17"/>
              </w:rPr>
              <w:t>保健事業との一体化</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継続妥当</w:t>
            </w:r>
          </w:p>
        </w:tc>
        <w:tc>
          <w:tcPr>
            <w:tcW w:type="dxa" w:w="4054"/>
          </w:tcPr>
          <w:p>
            <w:r/>
            <w:r>
              <w:rPr>
                <w:rFonts w:ascii="游ゴシック" w:hAnsi="游ゴシック" w:eastAsia="游ゴシック"/>
                <w:sz w:val="17"/>
              </w:rPr>
              <w:t>抽出→接触→支援→改善の歩留まり</w:t>
            </w:r>
          </w:p>
        </w:tc>
      </w:tr>
      <w:tr>
        <w:tc>
          <w:tcPr>
            <w:tcW w:type="dxa" w:w="767"/>
          </w:tcPr>
          <w:p>
            <w:r/>
            <w:r>
              <w:rPr>
                <w:rFonts w:ascii="游ゴシック" w:hAnsi="游ゴシック" w:eastAsia="游ゴシック"/>
                <w:sz w:val="17"/>
              </w:rPr>
              <w:t>3-4</w:t>
            </w:r>
          </w:p>
        </w:tc>
        <w:tc>
          <w:tcPr>
            <w:tcW w:type="dxa" w:w="2191"/>
          </w:tcPr>
          <w:p>
            <w:r/>
            <w:r>
              <w:rPr>
                <w:rFonts w:ascii="游ゴシック" w:hAnsi="游ゴシック" w:eastAsia="游ゴシック"/>
                <w:sz w:val="17"/>
              </w:rPr>
              <w:t>地域支援事業の連動</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再設計が必要</w:t>
            </w:r>
          </w:p>
        </w:tc>
        <w:tc>
          <w:tcPr>
            <w:tcW w:type="dxa" w:w="4054"/>
          </w:tcPr>
          <w:p>
            <w:r/>
            <w:r>
              <w:rPr>
                <w:rFonts w:ascii="游ゴシック" w:hAnsi="游ゴシック" w:eastAsia="游ゴシック"/>
                <w:sz w:val="17"/>
              </w:rPr>
              <w:t>サービス前後・維持改善を横断評価</w:t>
            </w:r>
          </w:p>
        </w:tc>
      </w:tr>
      <w:tr>
        <w:tc>
          <w:tcPr>
            <w:tcW w:type="dxa" w:w="767"/>
          </w:tcPr>
          <w:p>
            <w:r/>
            <w:r>
              <w:rPr>
                <w:rFonts w:ascii="游ゴシック" w:hAnsi="游ゴシック" w:eastAsia="游ゴシック"/>
                <w:sz w:val="17"/>
              </w:rPr>
              <w:t>4-1</w:t>
            </w:r>
          </w:p>
        </w:tc>
        <w:tc>
          <w:tcPr>
            <w:tcW w:type="dxa" w:w="2191"/>
          </w:tcPr>
          <w:p>
            <w:r/>
            <w:r>
              <w:rPr>
                <w:rFonts w:ascii="游ゴシック" w:hAnsi="游ゴシック" w:eastAsia="游ゴシック"/>
                <w:sz w:val="17"/>
              </w:rPr>
              <w:t>生産性向上</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重点化が妥当</w:t>
            </w:r>
          </w:p>
        </w:tc>
        <w:tc>
          <w:tcPr>
            <w:tcW w:type="dxa" w:w="4054"/>
          </w:tcPr>
          <w:p>
            <w:r/>
            <w:r>
              <w:rPr>
                <w:rFonts w:ascii="游ゴシック" w:hAnsi="游ゴシック" w:eastAsia="游ゴシック"/>
                <w:sz w:val="17"/>
              </w:rPr>
              <w:t>導入と業務時間等の効果を分ける</w:t>
            </w:r>
          </w:p>
        </w:tc>
      </w:tr>
      <w:tr>
        <w:tc>
          <w:tcPr>
            <w:tcW w:type="dxa" w:w="767"/>
          </w:tcPr>
          <w:p>
            <w:r/>
            <w:r>
              <w:rPr>
                <w:rFonts w:ascii="游ゴシック" w:hAnsi="游ゴシック" w:eastAsia="游ゴシック"/>
                <w:sz w:val="17"/>
              </w:rPr>
              <w:t>4-2</w:t>
            </w:r>
          </w:p>
        </w:tc>
        <w:tc>
          <w:tcPr>
            <w:tcW w:type="dxa" w:w="2191"/>
          </w:tcPr>
          <w:p>
            <w:r/>
            <w:r>
              <w:rPr>
                <w:rFonts w:ascii="游ゴシック" w:hAnsi="游ゴシック" w:eastAsia="游ゴシック"/>
                <w:sz w:val="17"/>
              </w:rPr>
              <w:t>事業者指導・質確保</w:t>
            </w:r>
          </w:p>
        </w:tc>
        <w:tc>
          <w:tcPr>
            <w:tcW w:type="dxa" w:w="1205"/>
          </w:tcPr>
          <w:p>
            <w:r/>
            <w:r>
              <w:rPr>
                <w:rFonts w:ascii="游ゴシック" w:hAnsi="游ゴシック" w:eastAsia="游ゴシック"/>
                <w:sz w:val="17"/>
              </w:rPr>
              <w:t>部分評価</w:t>
            </w:r>
          </w:p>
        </w:tc>
        <w:tc>
          <w:tcPr>
            <w:tcW w:type="dxa" w:w="1534"/>
          </w:tcPr>
          <w:p>
            <w:r/>
            <w:r>
              <w:rPr>
                <w:rFonts w:ascii="游ゴシック" w:hAnsi="游ゴシック" w:eastAsia="游ゴシック"/>
                <w:sz w:val="17"/>
              </w:rPr>
              <w:t>継続妥当</w:t>
            </w:r>
          </w:p>
        </w:tc>
        <w:tc>
          <w:tcPr>
            <w:tcW w:type="dxa" w:w="4054"/>
          </w:tcPr>
          <w:p>
            <w:r/>
            <w:r>
              <w:rPr>
                <w:rFonts w:ascii="游ゴシック" w:hAnsi="游ゴシック" w:eastAsia="游ゴシック"/>
                <w:sz w:val="17"/>
              </w:rPr>
              <w:t>指導後改善・再指摘・事故再発</w:t>
            </w:r>
          </w:p>
        </w:tc>
      </w:tr>
      <w:tr>
        <w:tc>
          <w:tcPr>
            <w:tcW w:type="dxa" w:w="767"/>
          </w:tcPr>
          <w:p>
            <w:r/>
            <w:r>
              <w:rPr>
                <w:rFonts w:ascii="游ゴシック" w:hAnsi="游ゴシック" w:eastAsia="游ゴシック"/>
                <w:sz w:val="17"/>
              </w:rPr>
              <w:t>4-3</w:t>
            </w:r>
          </w:p>
        </w:tc>
        <w:tc>
          <w:tcPr>
            <w:tcW w:type="dxa" w:w="2191"/>
          </w:tcPr>
          <w:p>
            <w:r/>
            <w:r>
              <w:rPr>
                <w:rFonts w:ascii="游ゴシック" w:hAnsi="游ゴシック" w:eastAsia="游ゴシック"/>
                <w:sz w:val="17"/>
              </w:rPr>
              <w:t>給付適正化</w:t>
            </w:r>
          </w:p>
        </w:tc>
        <w:tc>
          <w:tcPr>
            <w:tcW w:type="dxa" w:w="1205"/>
          </w:tcPr>
          <w:p>
            <w:r/>
            <w:r>
              <w:rPr>
                <w:rFonts w:ascii="游ゴシック" w:hAnsi="游ゴシック" w:eastAsia="游ゴシック"/>
                <w:sz w:val="17"/>
              </w:rPr>
              <w:t>部分評価</w:t>
            </w:r>
          </w:p>
        </w:tc>
        <w:tc>
          <w:tcPr>
            <w:tcW w:type="dxa" w:w="1534"/>
          </w:tcPr>
          <w:p>
            <w:r/>
            <w:r>
              <w:rPr>
                <w:rFonts w:ascii="游ゴシック" w:hAnsi="游ゴシック" w:eastAsia="游ゴシック"/>
                <w:sz w:val="17"/>
              </w:rPr>
              <w:t>最重点化が妥当</w:t>
            </w:r>
          </w:p>
        </w:tc>
        <w:tc>
          <w:tcPr>
            <w:tcW w:type="dxa" w:w="4054"/>
          </w:tcPr>
          <w:p>
            <w:r/>
            <w:r>
              <w:rPr>
                <w:rFonts w:ascii="游ゴシック" w:hAnsi="游ゴシック" w:eastAsia="游ゴシック"/>
                <w:sz w:val="17"/>
              </w:rPr>
              <w:t>ケアプラン点検・医療情報突合はいずれも交付金評価で0点。実施そのものが課題</w:t>
            </w:r>
          </w:p>
        </w:tc>
      </w:tr>
      <w:tr>
        <w:tc>
          <w:tcPr>
            <w:tcW w:type="dxa" w:w="767"/>
          </w:tcPr>
          <w:p>
            <w:r/>
            <w:r>
              <w:rPr>
                <w:rFonts w:ascii="游ゴシック" w:hAnsi="游ゴシック" w:eastAsia="游ゴシック"/>
                <w:sz w:val="17"/>
              </w:rPr>
              <w:t>4-4</w:t>
            </w:r>
          </w:p>
        </w:tc>
        <w:tc>
          <w:tcPr>
            <w:tcW w:type="dxa" w:w="2191"/>
          </w:tcPr>
          <w:p>
            <w:r/>
            <w:r>
              <w:rPr>
                <w:rFonts w:ascii="游ゴシック" w:hAnsi="游ゴシック" w:eastAsia="游ゴシック"/>
                <w:sz w:val="17"/>
              </w:rPr>
              <w:t>介護人材確保</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最重点化が妥当</w:t>
            </w:r>
          </w:p>
        </w:tc>
        <w:tc>
          <w:tcPr>
            <w:tcW w:type="dxa" w:w="4054"/>
          </w:tcPr>
          <w:p>
            <w:r/>
            <w:r>
              <w:rPr>
                <w:rFonts w:ascii="游ゴシック" w:hAnsi="游ゴシック" w:eastAsia="游ゴシック"/>
                <w:sz w:val="17"/>
              </w:rPr>
              <w:t>職種別従事者数の推移・採用率と離職率の差へ指標を変更</w:t>
            </w:r>
          </w:p>
        </w:tc>
      </w:tr>
      <w:tr>
        <w:tc>
          <w:tcPr>
            <w:tcW w:type="dxa" w:w="767"/>
          </w:tcPr>
          <w:p>
            <w:r/>
            <w:r>
              <w:rPr>
                <w:rFonts w:ascii="游ゴシック" w:hAnsi="游ゴシック" w:eastAsia="游ゴシック"/>
                <w:sz w:val="17"/>
              </w:rPr>
              <w:t>5-1</w:t>
            </w:r>
          </w:p>
        </w:tc>
        <w:tc>
          <w:tcPr>
            <w:tcW w:type="dxa" w:w="2191"/>
          </w:tcPr>
          <w:p>
            <w:r/>
            <w:r>
              <w:rPr>
                <w:rFonts w:ascii="游ゴシック" w:hAnsi="游ゴシック" w:eastAsia="游ゴシック"/>
                <w:sz w:val="17"/>
              </w:rPr>
              <w:t>災害・感染症の事業継続</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継続・実効化が妥当</w:t>
            </w:r>
          </w:p>
        </w:tc>
        <w:tc>
          <w:tcPr>
            <w:tcW w:type="dxa" w:w="4054"/>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から介護予防（軽度の認定の抑制）へ移し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評価結果を施策の重点化の根拠とし、0点項目をアウトプット指標に位置づけ</w:t>
            </w:r>
          </w:p>
        </w:tc>
        <w:tc>
          <w:tcPr>
            <w:tcW w:type="dxa" w:w="2167"/>
          </w:tcPr>
          <w:p>
            <w:r/>
            <w:r>
              <w:rPr>
                <w:rFonts w:ascii="游ゴシック" w:hAnsi="游ゴシック" w:eastAsia="游ゴシック"/>
                <w:sz w:val="17"/>
              </w:rPr>
              <w:t>評価調書との突合</w:t>
            </w:r>
          </w:p>
        </w:tc>
        <w:tc>
          <w:tcPr>
            <w:tcW w:type="dxa" w:w="1842"/>
          </w:tcPr>
          <w:p>
            <w:r/>
            <w:r>
              <w:rPr>
                <w:rFonts w:ascii="游ゴシック" w:hAnsi="游ゴシック" w:eastAsia="游ゴシック"/>
                <w:sz w:val="17"/>
              </w:rPr>
              <w:t>第3章第4節・第5章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36.0％（R7・6区分合成）／通いの場8.8％</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主介護者の高負担割合</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在宅介護実態調査</w:t>
            </w:r>
          </w:p>
        </w:tc>
        <w:tc>
          <w:tcPr>
            <w:tcW w:type="dxa" w:w="886"/>
          </w:tcPr>
          <w:p>
            <w:r/>
            <w:r>
              <w:rPr>
                <w:rFonts w:ascii="游ゴシック" w:hAnsi="游ゴシック" w:eastAsia="游ゴシック"/>
                <w:sz w:val="17"/>
              </w:rPr>
              <w:t>未確保</w:t>
            </w:r>
          </w:p>
        </w:tc>
        <w:tc>
          <w:tcPr>
            <w:tcW w:type="dxa" w:w="1477"/>
          </w:tcPr>
          <w:p>
            <w:r/>
            <w:r>
              <w:rPr>
                <w:rFonts w:ascii="游ゴシック" w:hAnsi="游ゴシック" w:eastAsia="游ゴシック"/>
                <w:sz w:val="17"/>
              </w:rPr>
              <w:t>算定不可</w:t>
            </w:r>
          </w:p>
        </w:tc>
        <w:tc>
          <w:tcPr>
            <w:tcW w:type="dxa" w:w="1576"/>
          </w:tcPr>
          <w:p>
            <w:r/>
            <w:r>
              <w:rPr>
                <w:rFonts w:ascii="游ゴシック" w:hAnsi="游ゴシック" w:eastAsia="游ゴシック"/>
                <w:sz w:val="17"/>
              </w:rPr>
              <w:t>データ源の確保が前提</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介護離職懸念・就労継続困難割合（補完）</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在宅介護実態調査</w:t>
            </w:r>
          </w:p>
        </w:tc>
        <w:tc>
          <w:tcPr>
            <w:tcW w:type="dxa" w:w="886"/>
          </w:tcPr>
          <w:p>
            <w:r/>
            <w:r>
              <w:rPr>
                <w:rFonts w:ascii="游ゴシック" w:hAnsi="游ゴシック" w:eastAsia="游ゴシック"/>
                <w:sz w:val="17"/>
              </w:rPr>
              <w:t>未確保</w:t>
            </w:r>
          </w:p>
        </w:tc>
        <w:tc>
          <w:tcPr>
            <w:tcW w:type="dxa" w:w="1477"/>
          </w:tcPr>
          <w:p>
            <w:r/>
            <w:r>
              <w:rPr>
                <w:rFonts w:ascii="游ゴシック" w:hAnsi="游ゴシック" w:eastAsia="游ゴシック"/>
                <w:sz w:val="17"/>
              </w:rPr>
              <w:t>算定不可</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必要サービス未充足率</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事業所実態調査</w:t>
            </w:r>
          </w:p>
        </w:tc>
        <w:tc>
          <w:tcPr>
            <w:tcW w:type="dxa" w:w="886"/>
          </w:tcPr>
          <w:p>
            <w:r/>
            <w:r>
              <w:rPr>
                <w:rFonts w:ascii="游ゴシック" w:hAnsi="游ゴシック" w:eastAsia="游ゴシック"/>
                <w:sz w:val="17"/>
              </w:rPr>
              <w:t>未確保</w:t>
            </w:r>
          </w:p>
        </w:tc>
        <w:tc>
          <w:tcPr>
            <w:tcW w:type="dxa" w:w="1477"/>
          </w:tcPr>
          <w:p>
            <w:r/>
            <w:r>
              <w:rPr>
                <w:rFonts w:ascii="游ゴシック" w:hAnsi="游ゴシック" w:eastAsia="游ゴシック"/>
                <w:sz w:val="17"/>
              </w:rPr>
              <w:t>算定不可</w:t>
            </w:r>
          </w:p>
        </w:tc>
        <w:tc>
          <w:tcPr>
            <w:tcW w:type="dxa" w:w="1576"/>
          </w:tcPr>
          <w:p>
            <w:r/>
            <w:r>
              <w:rPr>
                <w:rFonts w:ascii="游ゴシック" w:hAnsi="游ゴシック" w:eastAsia="游ゴシック"/>
                <w:sz w:val="17"/>
              </w:rPr>
              <w:t>代理指標への振替を検討</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第9期は必要保険料月額ベースで算定可</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災害・感染症時の必須サービス継続率</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事業所実態調査</w:t>
            </w:r>
          </w:p>
        </w:tc>
        <w:tc>
          <w:tcPr>
            <w:tcW w:type="dxa" w:w="886"/>
          </w:tcPr>
          <w:p>
            <w:r/>
            <w:r>
              <w:rPr>
                <w:rFonts w:ascii="游ゴシック" w:hAnsi="游ゴシック" w:eastAsia="游ゴシック"/>
                <w:sz w:val="17"/>
              </w:rPr>
              <w:t>未確保</w:t>
            </w:r>
          </w:p>
        </w:tc>
        <w:tc>
          <w:tcPr>
            <w:tcW w:type="dxa" w:w="1477"/>
          </w:tcPr>
          <w:p>
            <w:r/>
            <w:r>
              <w:rPr>
                <w:rFonts w:ascii="游ゴシック" w:hAnsi="游ゴシック" w:eastAsia="游ゴシック"/>
                <w:sz w:val="17"/>
              </w:rPr>
              <w:t>算定不可</w:t>
            </w:r>
          </w:p>
        </w:tc>
        <w:tc>
          <w:tcPr>
            <w:tcW w:type="dxa" w:w="1576"/>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ケアプランの点検：ケアプラン、住宅改修、福祉用具購入・貸与を専門職と点検</w:t>
            </w:r>
          </w:p>
        </w:tc>
        <w:tc>
          <w:tcPr>
            <w:tcW w:type="dxa" w:w="2958"/>
          </w:tcPr>
          <w:p>
            <w:r/>
            <w:r>
              <w:rPr>
                <w:rFonts w:ascii="游ゴシック" w:hAnsi="游ゴシック" w:eastAsia="游ゴシック"/>
                <w:sz w:val="17"/>
              </w:rPr>
              <w:t>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ケアプラン点検の実施割合</w:t>
            </w:r>
          </w:p>
        </w:tc>
      </w:tr>
      <w:tr>
        <w:tc>
          <w:tcPr>
            <w:tcW w:type="dxa" w:w="3616"/>
          </w:tcPr>
          <w:p>
            <w:r/>
            <w:r>
              <w:rPr>
                <w:rFonts w:ascii="游ゴシック" w:hAnsi="游ゴシック" w:eastAsia="游ゴシック"/>
                <w:sz w:val="17"/>
              </w:rPr>
              <w:t>医療情報との突合・縦覧点検：国保連帳票等を用いた重複・過誤・不整合の確認</w:t>
            </w:r>
          </w:p>
        </w:tc>
        <w:tc>
          <w:tcPr>
            <w:tcW w:type="dxa" w:w="2958"/>
          </w:tcPr>
          <w:p>
            <w:r/>
            <w:r>
              <w:rPr>
                <w:rFonts w:ascii="游ゴシック" w:hAnsi="游ゴシック" w:eastAsia="游ゴシック"/>
                <w:sz w:val="17"/>
              </w:rPr>
              <w:t>点検実施率 100％（R9年度から実施）／過誤調整件数／再発件数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医療情報との突合の実施割合</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第9期は必要保険料月額ベースで算定可</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計画値の定義（標準給付費見込額か総給付費か）を確定する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［要確認］</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保険者機能強化推進交付金等の総合得点</w:t>
            </w:r>
          </w:p>
        </w:tc>
        <w:tc>
          <w:tcPr>
            <w:tcW w:type="dxa" w:w="2082"/>
          </w:tcPr>
          <w:p>
            <w:r/>
            <w:r>
              <w:rPr>
                <w:rFonts w:ascii="游ゴシック" w:hAnsi="游ゴシック" w:eastAsia="游ゴシック"/>
                <w:sz w:val="17"/>
              </w:rPr>
              <w:t>332.0点（R5調査）</w:t>
            </w:r>
          </w:p>
        </w:tc>
        <w:tc>
          <w:tcPr>
            <w:tcW w:type="dxa" w:w="1753"/>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26,876</w:t>
            </w:r>
          </w:p>
        </w:tc>
        <w:tc>
          <w:tcPr>
            <w:tcW w:type="dxa" w:w="1144"/>
          </w:tcPr>
          <w:p>
            <w:r/>
            <w:r>
              <w:rPr>
                <w:rFonts w:ascii="游ゴシック" w:hAnsi="游ゴシック" w:eastAsia="游ゴシック"/>
                <w:sz w:val="17"/>
              </w:rPr>
              <w:t>26,649</w:t>
            </w:r>
          </w:p>
        </w:tc>
        <w:tc>
          <w:tcPr>
            <w:tcW w:type="dxa" w:w="1144"/>
          </w:tcPr>
          <w:p>
            <w:r/>
            <w:r>
              <w:rPr>
                <w:rFonts w:ascii="游ゴシック" w:hAnsi="游ゴシック" w:eastAsia="游ゴシック"/>
                <w:sz w:val="17"/>
              </w:rPr>
              <w:t>26,422</w:t>
            </w:r>
          </w:p>
        </w:tc>
        <w:tc>
          <w:tcPr>
            <w:tcW w:type="dxa" w:w="1144"/>
          </w:tcPr>
          <w:p>
            <w:r/>
            <w:r>
              <w:rPr>
                <w:rFonts w:ascii="游ゴシック" w:hAnsi="游ゴシック" w:eastAsia="游ゴシック"/>
                <w:sz w:val="17"/>
              </w:rPr>
              <w:t>26,195</w:t>
            </w:r>
          </w:p>
        </w:tc>
        <w:tc>
          <w:tcPr>
            <w:tcW w:type="dxa" w:w="1144"/>
          </w:tcPr>
          <w:p>
            <w:r/>
            <w:r>
              <w:rPr>
                <w:rFonts w:ascii="游ゴシック" w:hAnsi="游ゴシック" w:eastAsia="游ゴシック"/>
                <w:sz w:val="17"/>
              </w:rPr>
              <w:t>24,778</w:t>
            </w:r>
          </w:p>
        </w:tc>
        <w:tc>
          <w:tcPr>
            <w:tcW w:type="dxa" w:w="1144"/>
          </w:tcPr>
          <w:p>
            <w:r/>
            <w:r>
              <w:rPr>
                <w:rFonts w:ascii="游ゴシック" w:hAnsi="游ゴシック" w:eastAsia="游ゴシック"/>
                <w:sz w:val="17"/>
              </w:rPr>
              <w:t>23,582</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9,086</w:t>
            </w:r>
          </w:p>
        </w:tc>
        <w:tc>
          <w:tcPr>
            <w:tcW w:type="dxa" w:w="1144"/>
          </w:tcPr>
          <w:p>
            <w:r/>
            <w:r>
              <w:rPr>
                <w:rFonts w:ascii="游ゴシック" w:hAnsi="游ゴシック" w:eastAsia="游ゴシック"/>
                <w:sz w:val="17"/>
              </w:rPr>
              <w:t>9,080</w:t>
            </w:r>
          </w:p>
        </w:tc>
        <w:tc>
          <w:tcPr>
            <w:tcW w:type="dxa" w:w="1144"/>
          </w:tcPr>
          <w:p>
            <w:r/>
            <w:r>
              <w:rPr>
                <w:rFonts w:ascii="游ゴシック" w:hAnsi="游ゴシック" w:eastAsia="游ゴシック"/>
                <w:sz w:val="17"/>
              </w:rPr>
              <w:t>9,078</w:t>
            </w:r>
          </w:p>
        </w:tc>
        <w:tc>
          <w:tcPr>
            <w:tcW w:type="dxa" w:w="1144"/>
          </w:tcPr>
          <w:p>
            <w:r/>
            <w:r>
              <w:rPr>
                <w:rFonts w:ascii="游ゴシック" w:hAnsi="游ゴシック" w:eastAsia="游ゴシック"/>
                <w:sz w:val="17"/>
              </w:rPr>
              <w:t>9,072</w:t>
            </w:r>
          </w:p>
        </w:tc>
        <w:tc>
          <w:tcPr>
            <w:tcW w:type="dxa" w:w="1144"/>
          </w:tcPr>
          <w:p>
            <w:r/>
            <w:r>
              <w:rPr>
                <w:rFonts w:ascii="游ゴシック" w:hAnsi="游ゴシック" w:eastAsia="游ゴシック"/>
                <w:sz w:val="17"/>
              </w:rPr>
              <w:t>9,108</w:t>
            </w:r>
          </w:p>
        </w:tc>
        <w:tc>
          <w:tcPr>
            <w:tcW w:type="dxa" w:w="1144"/>
          </w:tcPr>
          <w:p>
            <w:r/>
            <w:r>
              <w:rPr>
                <w:rFonts w:ascii="游ゴシック" w:hAnsi="游ゴシック" w:eastAsia="游ゴシック"/>
                <w:sz w:val="17"/>
              </w:rPr>
              <w:t>9,352</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2,011</w:t>
            </w:r>
          </w:p>
        </w:tc>
        <w:tc>
          <w:tcPr>
            <w:tcW w:type="dxa" w:w="1144"/>
          </w:tcPr>
          <w:p>
            <w:r/>
            <w:r>
              <w:rPr>
                <w:rFonts w:ascii="游ゴシック" w:hAnsi="游ゴシック" w:eastAsia="游ゴシック"/>
                <w:sz w:val="17"/>
              </w:rPr>
              <w:t>2,032</w:t>
            </w:r>
          </w:p>
        </w:tc>
        <w:tc>
          <w:tcPr>
            <w:tcW w:type="dxa" w:w="1144"/>
          </w:tcPr>
          <w:p>
            <w:r/>
            <w:r>
              <w:rPr>
                <w:rFonts w:ascii="游ゴシック" w:hAnsi="游ゴシック" w:eastAsia="游ゴシック"/>
                <w:sz w:val="17"/>
              </w:rPr>
              <w:t>2,052</w:t>
            </w:r>
          </w:p>
        </w:tc>
        <w:tc>
          <w:tcPr>
            <w:tcW w:type="dxa" w:w="1144"/>
          </w:tcPr>
          <w:p>
            <w:r/>
            <w:r>
              <w:rPr>
                <w:rFonts w:ascii="游ゴシック" w:hAnsi="游ゴシック" w:eastAsia="游ゴシック"/>
                <w:sz w:val="17"/>
              </w:rPr>
              <w:t>2,072</w:t>
            </w:r>
          </w:p>
        </w:tc>
        <w:tc>
          <w:tcPr>
            <w:tcW w:type="dxa" w:w="1144"/>
          </w:tcPr>
          <w:p>
            <w:r/>
            <w:r>
              <w:rPr>
                <w:rFonts w:ascii="游ゴシック" w:hAnsi="游ゴシック" w:eastAsia="游ゴシック"/>
                <w:sz w:val="17"/>
              </w:rPr>
              <w:t>2,455</w:t>
            </w:r>
          </w:p>
        </w:tc>
        <w:tc>
          <w:tcPr>
            <w:tcW w:type="dxa" w:w="1144"/>
          </w:tcPr>
          <w:p>
            <w:r/>
            <w:r>
              <w:rPr>
                <w:rFonts w:ascii="游ゴシック" w:hAnsi="游ゴシック" w:eastAsia="游ゴシック"/>
                <w:sz w:val="17"/>
              </w:rPr>
              <w:t>2,581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1,990</w:t>
            </w:r>
          </w:p>
        </w:tc>
        <w:tc>
          <w:tcPr>
            <w:tcW w:type="dxa" w:w="1144"/>
          </w:tcPr>
          <w:p>
            <w:r/>
            <w:r>
              <w:rPr>
                <w:rFonts w:ascii="游ゴシック" w:hAnsi="游ゴシック" w:eastAsia="游ゴシック"/>
                <w:sz w:val="17"/>
              </w:rPr>
              <w:t>1,995</w:t>
            </w:r>
          </w:p>
        </w:tc>
        <w:tc>
          <w:tcPr>
            <w:tcW w:type="dxa" w:w="1144"/>
          </w:tcPr>
          <w:p>
            <w:r/>
            <w:r>
              <w:rPr>
                <w:rFonts w:ascii="游ゴシック" w:hAnsi="游ゴシック" w:eastAsia="游ゴシック"/>
                <w:sz w:val="17"/>
              </w:rPr>
              <w:t>2,000</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2,158</w:t>
            </w:r>
          </w:p>
        </w:tc>
        <w:tc>
          <w:tcPr>
            <w:tcW w:type="dxa" w:w="1144"/>
          </w:tcPr>
          <w:p>
            <w:r/>
            <w:r>
              <w:rPr>
                <w:rFonts w:ascii="游ゴシック" w:hAnsi="游ゴシック" w:eastAsia="游ゴシック"/>
                <w:sz w:val="17"/>
              </w:rPr>
              <w:t>2,216</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21.9％</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23.7％</w:t>
            </w:r>
          </w:p>
        </w:tc>
        <w:tc>
          <w:tcPr>
            <w:tcW w:type="dxa" w:w="1144"/>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2,014</w:t>
            </w:r>
          </w:p>
        </w:tc>
        <w:tc>
          <w:tcPr>
            <w:tcW w:type="dxa" w:w="1012"/>
          </w:tcPr>
          <w:p>
            <w:r/>
            <w:r>
              <w:rPr>
                <w:rFonts w:ascii="游ゴシック" w:hAnsi="游ゴシック" w:eastAsia="游ゴシック"/>
                <w:sz w:val="17"/>
              </w:rPr>
              <w:t>2,029</w:t>
            </w:r>
          </w:p>
        </w:tc>
        <w:tc>
          <w:tcPr>
            <w:tcW w:type="dxa" w:w="1012"/>
          </w:tcPr>
          <w:p>
            <w:r/>
            <w:r>
              <w:rPr>
                <w:rFonts w:ascii="游ゴシック" w:hAnsi="游ゴシック" w:eastAsia="游ゴシック"/>
                <w:sz w:val="17"/>
              </w:rPr>
              <w:t>2,044</w:t>
            </w:r>
          </w:p>
        </w:tc>
        <w:tc>
          <w:tcPr>
            <w:tcW w:type="dxa" w:w="1119"/>
          </w:tcPr>
          <w:p>
            <w:r/>
            <w:r>
              <w:rPr>
                <w:rFonts w:ascii="游ゴシック" w:hAnsi="游ゴシック" w:eastAsia="游ゴシック"/>
                <w:sz w:val="17"/>
              </w:rPr>
              <w:t>6,087</w:t>
            </w:r>
          </w:p>
        </w:tc>
        <w:tc>
          <w:tcPr>
            <w:tcW w:type="dxa" w:w="1012"/>
          </w:tcPr>
          <w:p>
            <w:r/>
            <w:r>
              <w:rPr>
                <w:rFonts w:ascii="游ゴシック" w:hAnsi="游ゴシック" w:eastAsia="游ゴシック"/>
                <w:sz w:val="17"/>
              </w:rPr>
              <w:t>2,255</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1,995</w:t>
            </w:r>
          </w:p>
        </w:tc>
        <w:tc>
          <w:tcPr>
            <w:tcW w:type="dxa" w:w="1012"/>
          </w:tcPr>
          <w:p>
            <w:r/>
            <w:r>
              <w:rPr>
                <w:rFonts w:ascii="游ゴシック" w:hAnsi="游ゴシック" w:eastAsia="游ゴシック"/>
                <w:sz w:val="17"/>
              </w:rPr>
              <w:t>2,000</w:t>
            </w:r>
          </w:p>
        </w:tc>
        <w:tc>
          <w:tcPr>
            <w:tcW w:type="dxa" w:w="1012"/>
          </w:tcPr>
          <w:p>
            <w:r/>
            <w:r>
              <w:rPr>
                <w:rFonts w:ascii="游ゴシック" w:hAnsi="游ゴシック" w:eastAsia="游ゴシック"/>
                <w:sz w:val="17"/>
              </w:rPr>
              <w:t>2,004</w:t>
            </w:r>
          </w:p>
        </w:tc>
        <w:tc>
          <w:tcPr>
            <w:tcW w:type="dxa" w:w="1119"/>
          </w:tcPr>
          <w:p>
            <w:r/>
            <w:r>
              <w:rPr>
                <w:rFonts w:ascii="游ゴシック" w:hAnsi="游ゴシック" w:eastAsia="游ゴシック"/>
                <w:sz w:val="17"/>
              </w:rPr>
              <w:t>5,999</w:t>
            </w:r>
          </w:p>
        </w:tc>
        <w:tc>
          <w:tcPr>
            <w:tcW w:type="dxa" w:w="1012"/>
          </w:tcPr>
          <w:p>
            <w:r/>
            <w:r>
              <w:rPr>
                <w:rFonts w:ascii="游ゴシック" w:hAnsi="游ゴシック" w:eastAsia="游ゴシック"/>
                <w:sz w:val="17"/>
              </w:rPr>
              <w:t>2,216</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2,048</w:t>
            </w:r>
          </w:p>
        </w:tc>
        <w:tc>
          <w:tcPr>
            <w:tcW w:type="dxa" w:w="1012"/>
          </w:tcPr>
          <w:p>
            <w:r/>
            <w:r>
              <w:rPr>
                <w:rFonts w:ascii="游ゴシック" w:hAnsi="游ゴシック" w:eastAsia="游ゴシック"/>
                <w:sz w:val="17"/>
              </w:rPr>
              <w:t>2,080</w:t>
            </w:r>
          </w:p>
        </w:tc>
        <w:tc>
          <w:tcPr>
            <w:tcW w:type="dxa" w:w="1012"/>
          </w:tcPr>
          <w:p>
            <w:r/>
            <w:r>
              <w:rPr>
                <w:rFonts w:ascii="游ゴシック" w:hAnsi="游ゴシック" w:eastAsia="游ゴシック"/>
                <w:sz w:val="17"/>
              </w:rPr>
              <w:t>2,112</w:t>
            </w:r>
          </w:p>
        </w:tc>
        <w:tc>
          <w:tcPr>
            <w:tcW w:type="dxa" w:w="1119"/>
          </w:tcPr>
          <w:p>
            <w:r/>
            <w:r>
              <w:rPr>
                <w:rFonts w:ascii="游ゴシック" w:hAnsi="游ゴシック" w:eastAsia="游ゴシック"/>
                <w:sz w:val="17"/>
              </w:rPr>
              <w:t>6,240</w:t>
            </w:r>
          </w:p>
        </w:tc>
        <w:tc>
          <w:tcPr>
            <w:tcW w:type="dxa" w:w="1012"/>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942"/>
          </w:tcPr>
          <w:p>
            <w:r/>
            <w:r>
              <w:rPr>
                <w:rFonts w:ascii="游ゴシック" w:hAnsi="游ゴシック" w:eastAsia="游ゴシック"/>
                <w:b/>
                <w:sz w:val="17"/>
              </w:rPr>
              <w:t>区分</w:t>
            </w:r>
          </w:p>
        </w:tc>
        <w:tc>
          <w:tcPr>
            <w:tcW w:type="dxa" w:w="1198"/>
          </w:tcPr>
          <w:p>
            <w:r/>
            <w:r>
              <w:rPr>
                <w:rFonts w:ascii="游ゴシック" w:hAnsi="游ゴシック" w:eastAsia="游ゴシック"/>
                <w:b/>
                <w:sz w:val="17"/>
              </w:rPr>
              <w:t>公開最新</w:t>
            </w:r>
          </w:p>
        </w:tc>
        <w:tc>
          <w:tcPr>
            <w:tcW w:type="dxa" w:w="926"/>
          </w:tcPr>
          <w:p>
            <w:r/>
            <w:r>
              <w:rPr>
                <w:rFonts w:ascii="游ゴシック" w:hAnsi="游ゴシック" w:eastAsia="游ゴシック"/>
                <w:b/>
                <w:sz w:val="17"/>
              </w:rPr>
              <w:t>R9</w:t>
            </w:r>
          </w:p>
        </w:tc>
        <w:tc>
          <w:tcPr>
            <w:tcW w:type="dxa" w:w="926"/>
          </w:tcPr>
          <w:p>
            <w:r/>
            <w:r>
              <w:rPr>
                <w:rFonts w:ascii="游ゴシック" w:hAnsi="游ゴシック" w:eastAsia="游ゴシック"/>
                <w:b/>
                <w:sz w:val="17"/>
              </w:rPr>
              <w:t>R10</w:t>
            </w:r>
          </w:p>
        </w:tc>
        <w:tc>
          <w:tcPr>
            <w:tcW w:type="dxa" w:w="926"/>
          </w:tcPr>
          <w:p>
            <w:r/>
            <w:r>
              <w:rPr>
                <w:rFonts w:ascii="游ゴシック" w:hAnsi="游ゴシック" w:eastAsia="游ゴシック"/>
                <w:b/>
                <w:sz w:val="17"/>
              </w:rPr>
              <w:t>R11</w:t>
            </w:r>
          </w:p>
        </w:tc>
        <w:tc>
          <w:tcPr>
            <w:tcW w:type="dxa" w:w="1090"/>
          </w:tcPr>
          <w:p>
            <w:r/>
            <w:r>
              <w:rPr>
                <w:rFonts w:ascii="游ゴシック" w:hAnsi="游ゴシック" w:eastAsia="游ゴシック"/>
                <w:b/>
                <w:sz w:val="17"/>
              </w:rPr>
              <w:t>第10期計</w:t>
            </w:r>
          </w:p>
        </w:tc>
        <w:tc>
          <w:tcPr>
            <w:tcW w:type="dxa" w:w="872"/>
          </w:tcPr>
          <w:p>
            <w:r/>
            <w:r>
              <w:rPr>
                <w:rFonts w:ascii="游ゴシック" w:hAnsi="游ゴシック" w:eastAsia="游ゴシック"/>
                <w:b/>
                <w:sz w:val="17"/>
              </w:rPr>
              <w:t>R17</w:t>
            </w:r>
          </w:p>
        </w:tc>
        <w:tc>
          <w:tcPr>
            <w:tcW w:type="dxa" w:w="872"/>
          </w:tcPr>
          <w:p>
            <w:r/>
            <w:r>
              <w:rPr>
                <w:rFonts w:ascii="游ゴシック" w:hAnsi="游ゴシック" w:eastAsia="游ゴシック"/>
                <w:b/>
                <w:sz w:val="17"/>
              </w:rPr>
              <w:t>R22</w:t>
            </w:r>
          </w:p>
        </w:tc>
      </w:tr>
      <w:tr>
        <w:tc>
          <w:tcPr>
            <w:tcW w:type="dxa" w:w="2942"/>
          </w:tcPr>
          <w:p>
            <w:r/>
            <w:r>
              <w:rPr>
                <w:rFonts w:ascii="游ゴシック" w:hAnsi="游ゴシック" w:eastAsia="游ゴシック"/>
                <w:sz w:val="17"/>
              </w:rPr>
              <w:t>介護予防・日常生活支援総合事業</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包括的支援事業（地域包括支援センター運営）</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包括的支援事業（社会保障充実分）</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任意事業</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地域支援事業費合計</w:t>
            </w:r>
          </w:p>
        </w:tc>
        <w:tc>
          <w:tcPr>
            <w:tcW w:type="dxa" w:w="1198"/>
          </w:tcPr>
          <w:p>
            <w:r/>
            <w:r>
              <w:rPr>
                <w:rFonts w:ascii="游ゴシック" w:hAnsi="游ゴシック" w:eastAsia="游ゴシック"/>
                <w:sz w:val="17"/>
              </w:rPr>
              <w:t>R5 177.5</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自然体給付費合計（参考）</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事業別積上げ</w:t>
            </w:r>
          </w:p>
        </w:tc>
      </w:tr>
      <w:tr>
        <w:tc>
          <w:tcPr>
            <w:tcW w:type="dxa" w:w="2108"/>
          </w:tcPr>
          <w:p>
            <w:r/>
            <w:r>
              <w:rPr>
                <w:rFonts w:ascii="游ゴシック" w:hAnsi="游ゴシック" w:eastAsia="游ゴシック"/>
                <w:sz w:val="17"/>
              </w:rPr>
              <w:t>合計（A＋B）</w:t>
            </w:r>
          </w:p>
        </w:tc>
        <w:tc>
          <w:tcPr>
            <w:tcW w:type="dxa" w:w="1054"/>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第9期は必要保険料月額ベースで算定可</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第3章第4節1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第3章第4節2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第3章第4節3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