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素案（第11稿・調査結果と供給構造の反映）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268"/>
          </w:tcPr>
          <w:p>
            <w:r/>
            <w:r>
              <w:rPr>
                <w:rFonts w:ascii="游ゴシック" w:hAnsi="游ゴシック" w:eastAsia="游ゴシック"/>
                <w:b/>
                <w:sz w:val="17"/>
              </w:rPr>
              <w:t>確認する事項</w:t>
            </w:r>
          </w:p>
        </w:tc>
        <w:tc>
          <w:tcPr>
            <w:tcW w:type="dxa" w:w="3969"/>
          </w:tcPr>
          <w:p>
            <w:r/>
            <w:r>
              <w:rPr>
                <w:rFonts w:ascii="游ゴシック" w:hAnsi="游ゴシック" w:eastAsia="游ゴシック"/>
                <w:b/>
                <w:sz w:val="17"/>
              </w:rPr>
              <w:t>確認の方法</w:t>
            </w:r>
          </w:p>
        </w:tc>
        <w:tc>
          <w:tcPr>
            <w:tcW w:type="dxa" w:w="3969"/>
          </w:tcPr>
          <w:p>
            <w:r/>
            <w:r>
              <w:rPr>
                <w:rFonts w:ascii="游ゴシック" w:hAnsi="游ゴシック" w:eastAsia="游ゴシック"/>
                <w:b/>
                <w:sz w:val="17"/>
              </w:rPr>
              <w:t>見直しの基準</w:t>
            </w:r>
          </w:p>
        </w:tc>
      </w:tr>
      <w:tr>
        <w:tc>
          <w:tcPr>
            <w:tcW w:type="dxa" w:w="2268"/>
          </w:tcPr>
          <w:p>
            <w:r/>
            <w:r>
              <w:rPr>
                <w:rFonts w:ascii="游ゴシック" w:hAnsi="游ゴシック" w:eastAsia="游ゴシック"/>
                <w:sz w:val="17"/>
              </w:rPr>
              <w:t>年齢階級別の認定率</w:t>
            </w:r>
          </w:p>
        </w:tc>
        <w:tc>
          <w:tcPr>
            <w:tcW w:type="dxa" w:w="3969"/>
          </w:tcPr>
          <w:p>
            <w:r/>
            <w:r>
              <w:rPr>
                <w:rFonts w:ascii="游ゴシック" w:hAnsi="游ゴシック" w:eastAsia="游ゴシック"/>
                <w:sz w:val="17"/>
              </w:rPr>
              <w:t>65〜74歳・75〜84歳・85歳以上の認定率の実績を各年度3月末で算定し、計画の前提と対比する</w:t>
            </w:r>
          </w:p>
        </w:tc>
        <w:tc>
          <w:tcPr>
            <w:tcW w:type="dxa" w:w="3969"/>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268"/>
          </w:tcPr>
          <w:p>
            <w:r/>
            <w:r>
              <w:rPr>
                <w:rFonts w:ascii="游ゴシック" w:hAnsi="游ゴシック" w:eastAsia="游ゴシック"/>
                <w:sz w:val="17"/>
              </w:rPr>
              <w:t>認定者数</w:t>
            </w:r>
          </w:p>
        </w:tc>
        <w:tc>
          <w:tcPr>
            <w:tcW w:type="dxa" w:w="3969"/>
          </w:tcPr>
          <w:p>
            <w:r/>
            <w:r>
              <w:rPr>
                <w:rFonts w:ascii="游ゴシック" w:hAnsi="游ゴシック" w:eastAsia="游ゴシック"/>
                <w:sz w:val="17"/>
              </w:rPr>
              <w:t>実績と計画の見込みを対比する</w:t>
            </w:r>
          </w:p>
        </w:tc>
        <w:tc>
          <w:tcPr>
            <w:tcW w:type="dxa" w:w="3969"/>
          </w:tcPr>
          <w:p>
            <w:r/>
            <w:r>
              <w:rPr>
                <w:rFonts w:ascii="游ゴシック" w:hAnsi="游ゴシック" w:eastAsia="游ゴシック"/>
                <w:sz w:val="17"/>
              </w:rPr>
              <w:t>乖離が2年続けて2％を超えた場合、中間年に推計を見直す</w:t>
            </w:r>
          </w:p>
        </w:tc>
      </w:tr>
      <w:tr>
        <w:tc>
          <w:tcPr>
            <w:tcW w:type="dxa" w:w="2268"/>
          </w:tcPr>
          <w:p>
            <w:r/>
            <w:r>
              <w:rPr>
                <w:rFonts w:ascii="游ゴシック" w:hAnsi="游ゴシック" w:eastAsia="游ゴシック"/>
                <w:sz w:val="17"/>
              </w:rPr>
              <w:t>人口</w:t>
            </w:r>
          </w:p>
        </w:tc>
        <w:tc>
          <w:tcPr>
            <w:tcW w:type="dxa" w:w="3969"/>
          </w:tcPr>
          <w:p>
            <w:r/>
            <w:r>
              <w:rPr>
                <w:rFonts w:ascii="游ゴシック" w:hAnsi="游ゴシック" w:eastAsia="游ゴシック"/>
                <w:sz w:val="17"/>
              </w:rPr>
              <w:t>国勢調査及び社人研推計と住民基本台帳の実績を対比する</w:t>
            </w:r>
          </w:p>
        </w:tc>
        <w:tc>
          <w:tcPr>
            <w:tcW w:type="dxa" w:w="3969"/>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268"/>
          </w:tcPr>
          <w:p>
            <w:r/>
            <w:r>
              <w:rPr>
                <w:rFonts w:ascii="游ゴシック" w:hAnsi="游ゴシック" w:eastAsia="游ゴシック"/>
                <w:sz w:val="17"/>
              </w:rPr>
              <w:t>給付費</w:t>
            </w:r>
          </w:p>
        </w:tc>
        <w:tc>
          <w:tcPr>
            <w:tcW w:type="dxa" w:w="3969"/>
          </w:tcPr>
          <w:p>
            <w:r/>
            <w:r>
              <w:rPr>
                <w:rFonts w:ascii="游ゴシック" w:hAnsi="游ゴシック" w:eastAsia="游ゴシック"/>
                <w:sz w:val="17"/>
              </w:rPr>
              <w:t>必要保険料月額と条例基準額の差を年度ごとに確認する</w:t>
            </w:r>
          </w:p>
        </w:tc>
        <w:tc>
          <w:tcPr>
            <w:tcW w:type="dxa" w:w="3969"/>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見える化A系列の令和7年10月1日の値9,323人とは時点・統計が異なる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事業所数4・従事者数は増加しており、稼働率の低下が疑われる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3.5倍。給付月額＋69.2％と同じ方向の拡大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5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6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7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出典：居所変更実態調査（令和7年4月1日現在）。回答した18施設の分であり、区域内の施設・住まい31施設のうち13施設は回答していません（把握率58.1％）。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362"/>
        <w:gridCol w:w="3362"/>
        <w:gridCol w:w="3362"/>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出典：介護人材実態調査（第10期分・令和7年4月1日現在）。訪問系は区域内13事業所のうち3事業所からの回答であり、訪問系を含む数値は区域全体を代表するものではありません。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5）、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587"/>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701"/>
          </w:tcPr>
          <w:p>
            <w:r/>
            <w:r>
              <w:rPr>
                <w:rFonts w:ascii="游ゴシック" w:hAnsi="游ゴシック" w:eastAsia="游ゴシック"/>
                <w:b/>
                <w:sz w:val="17"/>
              </w:rPr>
              <w:t>65歳以上</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587"/>
          </w:tcPr>
          <w:p>
            <w:r/>
            <w:r>
              <w:rPr>
                <w:rFonts w:ascii="游ゴシック" w:hAnsi="游ゴシック" w:eastAsia="游ゴシック"/>
                <w:sz w:val="17"/>
              </w:rPr>
              <w:t>R9（2027）</w:t>
            </w:r>
          </w:p>
        </w:tc>
        <w:tc>
          <w:tcPr>
            <w:tcW w:type="dxa" w:w="1701"/>
          </w:tcPr>
          <w:p>
            <w:r/>
            <w:r>
              <w:rPr>
                <w:rFonts w:ascii="游ゴシック" w:hAnsi="游ゴシック" w:eastAsia="游ゴシック"/>
                <w:sz w:val="17"/>
              </w:rPr>
              <w:t>26,649</w:t>
            </w:r>
          </w:p>
        </w:tc>
        <w:tc>
          <w:tcPr>
            <w:tcW w:type="dxa" w:w="1701"/>
          </w:tcPr>
          <w:p>
            <w:r/>
            <w:r>
              <w:rPr>
                <w:rFonts w:ascii="游ゴシック" w:hAnsi="游ゴシック" w:eastAsia="游ゴシック"/>
                <w:sz w:val="17"/>
              </w:rPr>
              <w:t>9,080</w:t>
            </w:r>
          </w:p>
        </w:tc>
        <w:tc>
          <w:tcPr>
            <w:tcW w:type="dxa" w:w="1587"/>
          </w:tcPr>
          <w:p>
            <w:r/>
            <w:r>
              <w:rPr>
                <w:rFonts w:ascii="游ゴシック" w:hAnsi="游ゴシック" w:eastAsia="游ゴシック"/>
                <w:sz w:val="17"/>
              </w:rPr>
              <w:t>2,032</w:t>
            </w:r>
          </w:p>
        </w:tc>
        <w:tc>
          <w:tcPr>
            <w:tcW w:type="dxa" w:w="1587"/>
          </w:tcPr>
          <w:p>
            <w:r/>
            <w:r>
              <w:rPr>
                <w:rFonts w:ascii="游ゴシック" w:hAnsi="游ゴシック" w:eastAsia="游ゴシック"/>
                <w:sz w:val="17"/>
              </w:rPr>
              <w:t>1,995</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R11（2029）</w:t>
            </w:r>
          </w:p>
        </w:tc>
        <w:tc>
          <w:tcPr>
            <w:tcW w:type="dxa" w:w="1701"/>
          </w:tcPr>
          <w:p>
            <w:r/>
            <w:r>
              <w:rPr>
                <w:rFonts w:ascii="游ゴシック" w:hAnsi="游ゴシック" w:eastAsia="游ゴシック"/>
                <w:sz w:val="17"/>
              </w:rPr>
              <w:t>26,195</w:t>
            </w:r>
          </w:p>
        </w:tc>
        <w:tc>
          <w:tcPr>
            <w:tcW w:type="dxa" w:w="1701"/>
          </w:tcPr>
          <w:p>
            <w:r/>
            <w:r>
              <w:rPr>
                <w:rFonts w:ascii="游ゴシック" w:hAnsi="游ゴシック" w:eastAsia="游ゴシック"/>
                <w:sz w:val="17"/>
              </w:rPr>
              <w:t>9,072</w:t>
            </w:r>
          </w:p>
        </w:tc>
        <w:tc>
          <w:tcPr>
            <w:tcW w:type="dxa" w:w="1587"/>
          </w:tcPr>
          <w:p>
            <w:r/>
            <w:r>
              <w:rPr>
                <w:rFonts w:ascii="游ゴシック" w:hAnsi="游ゴシック" w:eastAsia="游ゴシック"/>
                <w:sz w:val="17"/>
              </w:rPr>
              <w:t>2,072</w:t>
            </w:r>
          </w:p>
        </w:tc>
        <w:tc>
          <w:tcPr>
            <w:tcW w:type="dxa" w:w="1587"/>
          </w:tcPr>
          <w:p>
            <w:r/>
            <w:r>
              <w:rPr>
                <w:rFonts w:ascii="游ゴシック" w:hAnsi="游ゴシック" w:eastAsia="游ゴシック"/>
                <w:sz w:val="17"/>
              </w:rPr>
              <w:t>2,004</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R17（2035）</w:t>
            </w:r>
          </w:p>
        </w:tc>
        <w:tc>
          <w:tcPr>
            <w:tcW w:type="dxa" w:w="1701"/>
          </w:tcPr>
          <w:p>
            <w:r/>
            <w:r>
              <w:rPr>
                <w:rFonts w:ascii="游ゴシック" w:hAnsi="游ゴシック" w:eastAsia="游ゴシック"/>
                <w:sz w:val="17"/>
              </w:rPr>
              <w:t>24,778</w:t>
            </w:r>
          </w:p>
        </w:tc>
        <w:tc>
          <w:tcPr>
            <w:tcW w:type="dxa" w:w="1701"/>
          </w:tcPr>
          <w:p>
            <w:r/>
            <w:r>
              <w:rPr>
                <w:rFonts w:ascii="游ゴシック" w:hAnsi="游ゴシック" w:eastAsia="游ゴシック"/>
                <w:sz w:val="17"/>
              </w:rPr>
              <w:t>9,108</w:t>
            </w:r>
          </w:p>
        </w:tc>
        <w:tc>
          <w:tcPr>
            <w:tcW w:type="dxa" w:w="1587"/>
          </w:tcPr>
          <w:p>
            <w:r/>
            <w:r>
              <w:rPr>
                <w:rFonts w:ascii="游ゴシック" w:hAnsi="游ゴシック" w:eastAsia="游ゴシック"/>
                <w:sz w:val="17"/>
              </w:rPr>
              <w:t>2,455</w:t>
            </w:r>
          </w:p>
        </w:tc>
        <w:tc>
          <w:tcPr>
            <w:tcW w:type="dxa" w:w="1587"/>
          </w:tcPr>
          <w:p>
            <w:r/>
            <w:r>
              <w:rPr>
                <w:rFonts w:ascii="游ゴシック" w:hAnsi="游ゴシック" w:eastAsia="游ゴシック"/>
                <w:sz w:val="17"/>
              </w:rPr>
              <w:t>2,158</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R22（2040）</w:t>
            </w:r>
          </w:p>
        </w:tc>
        <w:tc>
          <w:tcPr>
            <w:tcW w:type="dxa" w:w="1701"/>
          </w:tcPr>
          <w:p>
            <w:r/>
            <w:r>
              <w:rPr>
                <w:rFonts w:ascii="游ゴシック" w:hAnsi="游ゴシック" w:eastAsia="游ゴシック"/>
                <w:sz w:val="17"/>
              </w:rPr>
              <w:t>23,582</w:t>
            </w:r>
          </w:p>
        </w:tc>
        <w:tc>
          <w:tcPr>
            <w:tcW w:type="dxa" w:w="1701"/>
          </w:tcPr>
          <w:p>
            <w:r/>
            <w:r>
              <w:rPr>
                <w:rFonts w:ascii="游ゴシック" w:hAnsi="游ゴシック" w:eastAsia="游ゴシック"/>
                <w:sz w:val="17"/>
              </w:rPr>
              <w:t>9,352</w:t>
            </w:r>
          </w:p>
        </w:tc>
        <w:tc>
          <w:tcPr>
            <w:tcW w:type="dxa" w:w="1587"/>
          </w:tcPr>
          <w:p>
            <w:r/>
            <w:r>
              <w:rPr>
                <w:rFonts w:ascii="游ゴシック" w:hAnsi="游ゴシック" w:eastAsia="游ゴシック"/>
                <w:sz w:val="17"/>
              </w:rPr>
              <w:t>2,581</w:t>
            </w:r>
          </w:p>
        </w:tc>
        <w:tc>
          <w:tcPr>
            <w:tcW w:type="dxa" w:w="1587"/>
          </w:tcPr>
          <w:p>
            <w:r/>
            <w:r>
              <w:rPr>
                <w:rFonts w:ascii="游ゴシック" w:hAnsi="游ゴシック" w:eastAsia="游ゴシック"/>
                <w:sz w:val="17"/>
              </w:rPr>
              <w:t>2,216</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R32（2050）</w:t>
            </w:r>
          </w:p>
        </w:tc>
        <w:tc>
          <w:tcPr>
            <w:tcW w:type="dxa" w:w="1701"/>
          </w:tcPr>
          <w:p>
            <w:r/>
            <w:r>
              <w:rPr>
                <w:rFonts w:ascii="游ゴシック" w:hAnsi="游ゴシック" w:eastAsia="游ゴシック"/>
                <w:sz w:val="17"/>
              </w:rPr>
              <w:t>21,058</w:t>
            </w:r>
          </w:p>
        </w:tc>
        <w:tc>
          <w:tcPr>
            <w:tcW w:type="dxa" w:w="1701"/>
          </w:tcPr>
          <w:p>
            <w:r/>
            <w:r>
              <w:rPr>
                <w:rFonts w:ascii="游ゴシック" w:hAnsi="游ゴシック" w:eastAsia="游ゴシック"/>
                <w:sz w:val="17"/>
              </w:rPr>
              <w:t>8,979</w:t>
            </w:r>
          </w:p>
        </w:tc>
        <w:tc>
          <w:tcPr>
            <w:tcW w:type="dxa" w:w="1587"/>
          </w:tcPr>
          <w:p>
            <w:r/>
            <w:r>
              <w:rPr>
                <w:rFonts w:ascii="游ゴシック" w:hAnsi="游ゴシック" w:eastAsia="游ゴシック"/>
                <w:sz w:val="17"/>
              </w:rPr>
              <w:t>2,327</w:t>
            </w:r>
          </w:p>
        </w:tc>
        <w:tc>
          <w:tcPr>
            <w:tcW w:type="dxa" w:w="1587"/>
          </w:tcPr>
          <w:p>
            <w:r/>
            <w:r>
              <w:rPr>
                <w:rFonts w:ascii="游ゴシック" w:hAnsi="游ゴシック" w:eastAsia="游ゴシック"/>
                <w:sz w:val="17"/>
              </w:rPr>
              <w:t>2,122</w:t>
            </w:r>
          </w:p>
        </w:tc>
        <w:tc>
          <w:tcPr>
            <w:tcW w:type="dxa" w:w="1928"/>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北海道の評価指標②が対象とする分野の強み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北海道の評価指標①が対象とする分野の強み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事項</w:t>
            </w:r>
          </w:p>
        </w:tc>
        <w:tc>
          <w:tcPr>
            <w:tcW w:type="dxa" w:w="4535"/>
          </w:tcPr>
          <w:p>
            <w:r/>
            <w:r>
              <w:rPr>
                <w:rFonts w:ascii="游ゴシック" w:hAnsi="游ゴシック" w:eastAsia="游ゴシック"/>
                <w:b/>
                <w:sz w:val="17"/>
              </w:rPr>
              <w:t>長期の推移</w:t>
            </w:r>
          </w:p>
        </w:tc>
        <w:tc>
          <w:tcPr>
            <w:tcW w:type="dxa" w:w="3742"/>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給付水準</w:t>
            </w:r>
          </w:p>
        </w:tc>
        <w:tc>
          <w:tcPr>
            <w:tcW w:type="dxa" w:w="4535"/>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742"/>
          </w:tcPr>
          <w:p>
            <w:r/>
            <w:r>
              <w:rPr>
                <w:rFonts w:ascii="游ゴシック" w:hAnsi="游ゴシック" w:eastAsia="游ゴシック"/>
                <w:sz w:val="17"/>
              </w:rPr>
              <w:t>水準は全国を上回るが、管内では平均並みに収束した。伸びは管内で小さい方に属する</w:t>
            </w:r>
          </w:p>
        </w:tc>
      </w:tr>
      <w:tr>
        <w:tc>
          <w:tcPr>
            <w:tcW w:type="dxa" w:w="1928"/>
          </w:tcPr>
          <w:p>
            <w:r/>
            <w:r>
              <w:rPr>
                <w:rFonts w:ascii="游ゴシック" w:hAnsi="游ゴシック" w:eastAsia="游ゴシック"/>
                <w:sz w:val="17"/>
              </w:rPr>
              <w:t>年齢調整後の認定率</w:t>
            </w:r>
          </w:p>
        </w:tc>
        <w:tc>
          <w:tcPr>
            <w:tcW w:type="dxa" w:w="4535"/>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742"/>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928"/>
          </w:tcPr>
          <w:p>
            <w:r/>
            <w:r>
              <w:rPr>
                <w:rFonts w:ascii="游ゴシック" w:hAnsi="游ゴシック" w:eastAsia="游ゴシック"/>
                <w:sz w:val="17"/>
              </w:rPr>
              <w:t>中重度の認定率</w:t>
            </w:r>
          </w:p>
        </w:tc>
        <w:tc>
          <w:tcPr>
            <w:tcW w:type="dxa" w:w="4535"/>
          </w:tcPr>
          <w:p>
            <w:r/>
            <w:r>
              <w:rPr>
                <w:rFonts w:ascii="游ゴシック" w:hAnsi="游ゴシック" w:eastAsia="游ゴシック"/>
                <w:sz w:val="17"/>
              </w:rPr>
              <w:t>調整済み重度認定率（要介護3〜5）は5.4％から4.7％へ低下が継続</w:t>
            </w:r>
          </w:p>
        </w:tc>
        <w:tc>
          <w:tcPr>
            <w:tcW w:type="dxa" w:w="3742"/>
          </w:tcPr>
          <w:p>
            <w:r/>
            <w:r>
              <w:rPr>
                <w:rFonts w:ascii="游ゴシック" w:hAnsi="游ゴシック" w:eastAsia="游ゴシック"/>
                <w:sz w:val="17"/>
              </w:rPr>
              <w:t>重度化防止の面では改善が続いている</w:t>
            </w:r>
          </w:p>
        </w:tc>
      </w:tr>
      <w:tr>
        <w:tc>
          <w:tcPr>
            <w:tcW w:type="dxa" w:w="1928"/>
          </w:tcPr>
          <w:p>
            <w:r/>
            <w:r>
              <w:rPr>
                <w:rFonts w:ascii="游ゴシック" w:hAnsi="游ゴシック" w:eastAsia="游ゴシック"/>
                <w:sz w:val="17"/>
              </w:rPr>
              <w:t>軽度の認定率</w:t>
            </w:r>
          </w:p>
        </w:tc>
        <w:tc>
          <w:tcPr>
            <w:tcW w:type="dxa" w:w="4535"/>
          </w:tcPr>
          <w:p>
            <w:r/>
            <w:r>
              <w:rPr>
                <w:rFonts w:ascii="游ゴシック" w:hAnsi="游ゴシック" w:eastAsia="游ゴシック"/>
                <w:sz w:val="17"/>
              </w:rPr>
              <w:t>調整済み軽度認定率（要支援1〜要介護2）は令和5年11.7％を底に令和7年12.0％へ上昇</w:t>
            </w:r>
          </w:p>
        </w:tc>
        <w:tc>
          <w:tcPr>
            <w:tcW w:type="dxa" w:w="3742"/>
          </w:tcPr>
          <w:p>
            <w:r/>
            <w:r>
              <w:rPr>
                <w:rFonts w:ascii="游ゴシック" w:hAnsi="游ゴシック" w:eastAsia="游ゴシック"/>
                <w:sz w:val="17"/>
              </w:rPr>
              <w:t>上昇に転じている。第10期の重点を介護予防に移す根拠となる</w:t>
            </w:r>
          </w:p>
        </w:tc>
      </w:tr>
      <w:tr>
        <w:tc>
          <w:tcPr>
            <w:tcW w:type="dxa" w:w="1928"/>
          </w:tcPr>
          <w:p>
            <w:r/>
            <w:r>
              <w:rPr>
                <w:rFonts w:ascii="游ゴシック" w:hAnsi="游ゴシック" w:eastAsia="游ゴシック"/>
                <w:sz w:val="17"/>
              </w:rPr>
              <w:t>施設・居住系の受給率</w:t>
            </w:r>
          </w:p>
        </w:tc>
        <w:tc>
          <w:tcPr>
            <w:tcW w:type="dxa" w:w="4535"/>
          </w:tcPr>
          <w:p>
            <w:r/>
            <w:r>
              <w:rPr>
                <w:rFonts w:ascii="游ゴシック" w:hAnsi="游ゴシック" w:eastAsia="游ゴシック"/>
                <w:sz w:val="17"/>
              </w:rPr>
              <w:t>全国との差は平成26年度1.98ポイントから令和7年度0.95ポイントへ縮小</w:t>
            </w:r>
          </w:p>
        </w:tc>
        <w:tc>
          <w:tcPr>
            <w:tcW w:type="dxa" w:w="3742"/>
          </w:tcPr>
          <w:p>
            <w:r/>
            <w:r>
              <w:rPr>
                <w:rFonts w:ascii="游ゴシック" w:hAnsi="游ゴシック" w:eastAsia="游ゴシック"/>
                <w:sz w:val="17"/>
              </w:rPr>
              <w:t>差は縮小しているが、施設定員の減少と同時に進んでいる</w:t>
            </w:r>
          </w:p>
        </w:tc>
      </w:tr>
      <w:tr>
        <w:tc>
          <w:tcPr>
            <w:tcW w:type="dxa" w:w="1928"/>
          </w:tcPr>
          <w:p>
            <w:r/>
            <w:r>
              <w:rPr>
                <w:rFonts w:ascii="游ゴシック" w:hAnsi="游ゴシック" w:eastAsia="游ゴシック"/>
                <w:sz w:val="17"/>
              </w:rPr>
              <w:t>財政</w:t>
            </w:r>
          </w:p>
        </w:tc>
        <w:tc>
          <w:tcPr>
            <w:tcW w:type="dxa" w:w="4535"/>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742"/>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3061"/>
          </w:tcPr>
          <w:p>
            <w:r/>
            <w:r>
              <w:rPr>
                <w:rFonts w:ascii="游ゴシック" w:hAnsi="游ゴシック" w:eastAsia="游ゴシック"/>
                <w:sz w:val="17"/>
              </w:rPr>
              <w:t>自給率の年次把握（6区分）／区域外利用の所在地別内訳の作成</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第2章第2節・第3節／見える化D41・D42・D13・D31・D49・δ</w:t>
            </w:r>
          </w:p>
        </w:tc>
        <w:tc>
          <w:tcPr>
            <w:tcW w:type="dxa" w:w="3515"/>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地域差指数による給付水準の4要素</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