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令和８年度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令和８年８月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９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計画に定める施策及びサービス見込量の根拠とすることを目的とします。</w:t>
      </w:r>
    </w:p>
    <w:p>
      <w:pPr>
        <w:pStyle w:val="Heading2"/>
        <w:keepNext/>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・在宅生活改善調査、居所変更実態調査、介護人材実態調査：令和７年４月１日現在</w:t>
      </w:r>
    </w:p>
    <w:p>
      <w:pPr>
        <w:spacing w:after="120" w:line="276" w:lineRule="auto"/>
      </w:pPr>
      <w:r>
        <w:rPr>
          <w:rFonts w:ascii="BIZ UDPゴシック" w:hAnsi="BIZ UDPゴシック" w:eastAsia="BIZ UDPゴシック"/>
          <w:b w:val="0"/>
        </w:rPr>
        <w:t>・健康とくらしの調査：令和７年11月17日～12月８日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回収率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指定施設14・介護保険外の住まい12＝26</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val="0"/>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val="0"/>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val="0"/>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before="0"/>
      </w:pPr>
    </w:p>
    <w:p>
      <w:pPr>
        <w:pStyle w:val="note"/>
        <w:spacing w:after="80" w:line="276" w:lineRule="auto"/>
      </w:pPr>
      <w:r>
        <w:rPr>
          <w:b w:val="0"/>
        </w:rPr>
        <w:t>在宅生活改善調査、居所変更実態調査及び介護人材実態調査は配布数の記録がないため、回収率は母数を公表データで置き換えられるものに限り算定しています。健康とくらしの調査は回収4,798票（回収率67.4%）で、このうち分析対象は4,729票です。本報告書第６章の集計はこの4,729票によります。</w:t>
      </w:r>
    </w:p>
    <w:p>
      <w:pPr>
        <w:pStyle w:val="Heading2"/>
        <w:keepNext/>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サービス見込量は、要介護度別の認定者数に給付実績から求めた利用率と受給者1人当たりの利用日数・回数を乗じて算定します（別冊「将来推計 第2段階　サービス見込量」）。本報告書の調査結果は、この算定の直接の入力値ではありません。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val="0"/>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val="0"/>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616000" cy="1388279"/>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616000" cy="1388279"/>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val="0"/>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616000" cy="2483296"/>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616000" cy="2483296"/>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616000" cy="1388279"/>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val="0"/>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5669"/>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616000" cy="1784596"/>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616000" cy="1784596"/>
                    </a:xfrm>
                    <a:prstGeom prst="rect"/>
                  </pic:spPr>
                </pic:pic>
              </a:graphicData>
            </a:graphic>
          </wp:inline>
        </w:drawing>
      </w:r>
    </w:p>
    <w:p>
      <w:pPr>
        <w:spacing w:after="120" w:line="276" w:lineRule="auto"/>
      </w:pPr>
      <w:r>
        <w:rPr>
          <w:rFonts w:ascii="BIZ UDPゴシック" w:hAnsi="BIZ UDPゴシック" w:eastAsia="BIZ UDPゴシック"/>
          <w:b w:val="0"/>
        </w:rPr>
        <w:t>本調査で抽出された課題事例98人のうち、現在の状態では在宅生活の維持が困難とされた方は72人（73.5%）です。本調査は事業所が課題があると判断した利用者を抽出する設計であるため、この割合を区域内の在宅利用者全体の割合として読むことはできません。計画本文では「調査対象となった99人のうち」と母集団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val="0"/>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val="0"/>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在宅生活の継続を困難にしている要因（本人の状態等・複数回答）</w:t>
      </w:r>
    </w:p>
    <w:p>
      <w:pPr>
        <w:keepLines/>
        <w:spacing w:after="160" w:before="0"/>
        <w:jc w:val="center"/>
      </w:pPr>
      <w:r>
        <w:drawing>
          <wp:inline xmlns:a="http://schemas.openxmlformats.org/drawingml/2006/main" xmlns:pic="http://schemas.openxmlformats.org/drawingml/2006/picture">
            <wp:extent cx="5616000" cy="1995738"/>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616000" cy="1995738"/>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val="0"/>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val="0"/>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在宅生活の継続を困難にしている要因（家族等介護者・複数回答）</w:t>
      </w:r>
    </w:p>
    <w:p>
      <w:pPr>
        <w:keepLines/>
        <w:spacing w:after="160" w:before="0"/>
        <w:jc w:val="center"/>
      </w:pPr>
      <w:r>
        <w:drawing>
          <wp:inline xmlns:a="http://schemas.openxmlformats.org/drawingml/2006/main" xmlns:pic="http://schemas.openxmlformats.org/drawingml/2006/picture">
            <wp:extent cx="5616000" cy="2024609"/>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616000" cy="2024609"/>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val="0"/>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val="0"/>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主な介護者の負担となっている介護（上位10・複数回答）</w:t>
      </w:r>
    </w:p>
    <w:p>
      <w:pPr>
        <w:keepLines/>
        <w:spacing w:after="160" w:before="0"/>
        <w:jc w:val="center"/>
      </w:pPr>
      <w:r>
        <w:drawing>
          <wp:inline xmlns:a="http://schemas.openxmlformats.org/drawingml/2006/main" xmlns:pic="http://schemas.openxmlformats.org/drawingml/2006/picture">
            <wp:extent cx="5616000" cy="2613386"/>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616000" cy="2613386"/>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val="0"/>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必要な生活支援（複数回答）</w:t>
      </w:r>
    </w:p>
    <w:p>
      <w:pPr>
        <w:keepLines/>
        <w:spacing w:after="160" w:before="0"/>
        <w:jc w:val="center"/>
      </w:pPr>
      <w:r>
        <w:drawing>
          <wp:inline xmlns:a="http://schemas.openxmlformats.org/drawingml/2006/main" xmlns:pic="http://schemas.openxmlformats.org/drawingml/2006/picture">
            <wp:extent cx="5616000" cy="2809851"/>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616000" cy="2809851"/>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rPr>
          <w:cantSplit/>
        </w:trP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rPr>
          <w:cantSplit/>
        </w:trP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rPr>
          <w:cantSplit/>
        </w:trP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rPr>
          <w:cantSplit/>
        </w:trP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rPr>
          <w:cantSplit/>
        </w:trP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rPr>
          <w:cantSplit/>
        </w:trP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rPr>
          <w:cantSplit/>
        </w:trP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rPr>
          <w:cantSplit/>
        </w:trP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より適切と思われるサービス（複数回答）</w:t>
      </w:r>
    </w:p>
    <w:p>
      <w:pPr>
        <w:keepLines/>
        <w:spacing w:after="160" w:before="0"/>
        <w:jc w:val="center"/>
      </w:pPr>
      <w:r>
        <w:drawing>
          <wp:inline xmlns:a="http://schemas.openxmlformats.org/drawingml/2006/main" xmlns:pic="http://schemas.openxmlformats.org/drawingml/2006/picture">
            <wp:extent cx="5616000" cy="4416538"/>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616000" cy="4416538"/>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val="0"/>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val="0"/>
                <w:sz w:val="18"/>
              </w:rPr>
              <w:t>6.7%</w:t>
            </w:r>
          </w:p>
        </w:tc>
      </w:tr>
      <w:tr>
        <w:trPr>
          <w:cantSplit/>
        </w:trPr>
        <w:tc>
          <w:tcPr>
            <w:tcW w:type="dxa" w:w="4535"/>
          </w:tcPr>
          <w:p>
            <w:pPr>
              <w:keepNext/>
              <w:spacing w:after="20" w:before="20"/>
            </w:pPr>
            <w:r/>
            <w:r>
              <w:rPr>
                <w:rFonts w:ascii="BIZ UDPゴシック" w:hAnsi="BIZ UDPゴシック" w:eastAsia="BIZ UDPゴシック"/>
                <w:b w:val="0"/>
                <w:sz w:val="18"/>
              </w:rPr>
              <w:t>合計（n=60）</w:t>
            </w:r>
          </w:p>
        </w:tc>
        <w:tc>
          <w:tcPr>
            <w:tcW w:type="dxa" w:w="1701"/>
          </w:tcPr>
          <w:p>
            <w:pPr>
              <w:keepNext/>
              <w:spacing w:after="20" w:before="20"/>
              <w:jc w:val="right"/>
            </w:pPr>
            <w:r/>
            <w:r>
              <w:rPr>
                <w:rFonts w:ascii="BIZ UDPゴシック" w:hAnsi="BIZ UDPゴシック" w:eastAsia="BIZ UDPゴシック"/>
                <w:b w:val="0"/>
                <w:sz w:val="18"/>
              </w:rPr>
              <w:t>60</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616000" cy="1388279"/>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616000" cy="186341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616000" cy="186341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rPr>
          <w:cantSplit/>
        </w:trP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rPr>
          <w:cantSplit/>
        </w:trP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rPr>
          <w:cantSplit/>
        </w:trP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rPr>
          <w:cantSplit/>
        </w:trP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rPr>
          <w:cantSplit/>
        </w:trP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rPr>
          <w:cantSplit/>
        </w:trP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rPr>
          <w:cantSplit/>
        </w:trP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rPr>
          <w:cantSplit/>
        </w:trP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rPr>
          <w:cantSplit/>
        </w:trP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rPr>
          <w:cantSplit/>
        </w:trP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616000" cy="4019366"/>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616000" cy="4019366"/>
                    </a:xfrm>
                    <a:prstGeom prst="rect"/>
                  </pic:spPr>
                </pic:pic>
              </a:graphicData>
            </a:graphic>
          </wp:inline>
        </w:drawing>
      </w:r>
    </w:p>
    <w:p>
      <w:pPr>
        <w:pStyle w:val="note"/>
        <w:spacing w:after="80" w:line="276" w:lineRule="auto"/>
      </w:pPr>
      <w:r>
        <w:rPr>
          <w:b w:val="0"/>
        </w:rPr>
        <w:t>事業所票15件のうち1件は、事業所名の記入はあるものの各設問が0又は記号のみとなっています。対象となる事例が0件であったのか未記入であるのかが判別できないため、「回答事業所15件」と「集計に反映した事業所」を区別する必要があります。提出元への確認を要します。</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把握率58.1%）。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区域内</w:t>
            </w:r>
          </w:p>
        </w:tc>
        <w:tc>
          <w:tcPr>
            <w:tcW w:type="dxa" w:w="1361"/>
            <w:shd w:val="clear" w:fill="F2F2F2"/>
          </w:tcPr>
          <w:p>
            <w:pPr>
              <w:keepNext/>
              <w:spacing w:after="20" w:before="20"/>
              <w:jc w:val="center"/>
            </w:pPr>
            <w:r/>
            <w:r>
              <w:rPr>
                <w:rFonts w:ascii="BIZ UDPゴシック" w:hAnsi="BIZ UDPゴシック" w:eastAsia="BIZ UDPゴシック"/>
                <w:b/>
                <w:sz w:val="18"/>
              </w:rPr>
              <w:t>回答</w:t>
            </w:r>
          </w:p>
        </w:tc>
        <w:tc>
          <w:tcPr>
            <w:tcW w:type="dxa" w:w="1361"/>
            <w:shd w:val="clear" w:fill="F2F2F2"/>
          </w:tcPr>
          <w:p>
            <w:pPr>
              <w:keepNext/>
              <w:spacing w:after="20" w:before="20"/>
              <w:jc w:val="center"/>
            </w:pPr>
            <w:r/>
            <w:r>
              <w:rPr>
                <w:rFonts w:ascii="BIZ UDPゴシック" w:hAnsi="BIZ UDPゴシック" w:eastAsia="BIZ UDPゴシック"/>
                <w:b/>
                <w:sz w:val="18"/>
              </w:rPr>
              <w:t>未回答</w:t>
            </w:r>
          </w:p>
        </w:tc>
        <w:tc>
          <w:tcPr>
            <w:tcW w:type="dxa" w:w="147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402"/>
          </w:tcPr>
          <w:p>
            <w:pPr>
              <w:keepNext/>
              <w:spacing w:after="20" w:before="20"/>
            </w:pPr>
            <w:r/>
            <w:r>
              <w:rPr>
                <w:rFonts w:ascii="BIZ UDPゴシック" w:hAnsi="BIZ UDPゴシック" w:eastAsia="BIZ UDPゴシック"/>
                <w:b w:val="0"/>
                <w:sz w:val="18"/>
              </w:rPr>
              <w:t>特別養護老人ホーム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66.7%</w:t>
            </w:r>
          </w:p>
        </w:tc>
      </w:tr>
      <w:tr>
        <w:trPr>
          <w:cantSplit/>
        </w:trPr>
        <w:tc>
          <w:tcPr>
            <w:tcW w:type="dxa" w:w="34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66.7%</w:t>
            </w:r>
          </w:p>
        </w:tc>
      </w:tr>
      <w:tr>
        <w:trPr>
          <w:cantSplit/>
        </w:trPr>
        <w:tc>
          <w:tcPr>
            <w:tcW w:type="dxa" w:w="34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0</w:t>
            </w:r>
          </w:p>
        </w:tc>
        <w:tc>
          <w:tcPr>
            <w:tcW w:type="dxa" w:w="1474"/>
          </w:tcPr>
          <w:p>
            <w:pPr>
              <w:keepNext/>
              <w:spacing w:after="20" w:before="20"/>
              <w:jc w:val="right"/>
            </w:pPr>
            <w:r/>
            <w:r>
              <w:rPr>
                <w:rFonts w:ascii="BIZ UDPゴシック" w:hAnsi="BIZ UDPゴシック" w:eastAsia="BIZ UDPゴシック"/>
                <w:b w:val="0"/>
                <w:sz w:val="18"/>
              </w:rPr>
              <w:t>100.0%</w:t>
            </w:r>
          </w:p>
        </w:tc>
      </w:tr>
      <w:tr>
        <w:trPr>
          <w:cantSplit/>
        </w:trPr>
        <w:tc>
          <w:tcPr>
            <w:tcW w:type="dxa" w:w="3402"/>
          </w:tcPr>
          <w:p>
            <w:pPr>
              <w:keepNext/>
              <w:spacing w:after="20" w:before="20"/>
            </w:pPr>
            <w:r/>
            <w:r>
              <w:rPr>
                <w:rFonts w:ascii="BIZ UDPゴシック" w:hAnsi="BIZ UDPゴシック" w:eastAsia="BIZ UDPゴシック"/>
                <w:b w:val="0"/>
                <w:sz w:val="18"/>
              </w:rPr>
              <w:t>認知症対応型共同生活介護</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474"/>
          </w:tcPr>
          <w:p>
            <w:pPr>
              <w:keepNext/>
              <w:spacing w:after="20" w:before="20"/>
              <w:jc w:val="right"/>
            </w:pPr>
            <w:r/>
            <w:r>
              <w:rPr>
                <w:rFonts w:ascii="BIZ UDPゴシック" w:hAnsi="BIZ UDPゴシック" w:eastAsia="BIZ UDPゴシック"/>
                <w:b w:val="0"/>
                <w:sz w:val="18"/>
              </w:rPr>
              <w:t>71.4%</w:t>
            </w:r>
          </w:p>
        </w:tc>
      </w:tr>
      <w:tr>
        <w:trPr>
          <w:cantSplit/>
        </w:trPr>
        <w:tc>
          <w:tcPr>
            <w:tcW w:type="dxa" w:w="34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66.7%</w:t>
            </w:r>
          </w:p>
        </w:tc>
      </w:tr>
      <w:tr>
        <w:trPr>
          <w:cantSplit/>
        </w:trPr>
        <w:tc>
          <w:tcPr>
            <w:tcW w:type="dxa" w:w="3402"/>
          </w:tcPr>
          <w:p>
            <w:pPr>
              <w:keepNext/>
              <w:spacing w:after="20" w:before="20"/>
            </w:pPr>
            <w:r/>
            <w:r>
              <w:rPr>
                <w:rFonts w:ascii="BIZ UDPゴシック" w:hAnsi="BIZ UDPゴシック" w:eastAsia="BIZ UDPゴシック"/>
                <w:b w:val="0"/>
                <w:sz w:val="18"/>
              </w:rPr>
              <w:t xml:space="preserve">　指定を受けるもの　小計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474"/>
          </w:tcPr>
          <w:p>
            <w:pPr>
              <w:keepNext/>
              <w:spacing w:after="20" w:before="20"/>
              <w:jc w:val="right"/>
            </w:pPr>
            <w:r/>
            <w:r>
              <w:rPr>
                <w:rFonts w:ascii="BIZ UDPゴシック" w:hAnsi="BIZ UDPゴシック" w:eastAsia="BIZ UDPゴシック"/>
                <w:b w:val="0"/>
                <w:sz w:val="18"/>
              </w:rPr>
              <w:t>73.7%</w:t>
            </w:r>
          </w:p>
        </w:tc>
      </w:tr>
      <w:tr>
        <w:trPr>
          <w:cantSplit/>
        </w:trPr>
        <w:tc>
          <w:tcPr>
            <w:tcW w:type="dxa" w:w="34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9</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val="0"/>
                <w:sz w:val="18"/>
              </w:rPr>
              <w:t>33.3%</w:t>
            </w:r>
          </w:p>
        </w:tc>
      </w:tr>
      <w:tr>
        <w:trPr>
          <w:cantSplit/>
        </w:trPr>
        <w:tc>
          <w:tcPr>
            <w:tcW w:type="dxa" w:w="34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50.0%</w:t>
            </w:r>
          </w:p>
        </w:tc>
      </w:tr>
      <w:tr>
        <w:trPr>
          <w:cantSplit/>
        </w:trPr>
        <w:tc>
          <w:tcPr>
            <w:tcW w:type="dxa" w:w="3402"/>
          </w:tcPr>
          <w:p>
            <w:pPr>
              <w:keepNext/>
              <w:spacing w:after="20" w:before="20"/>
            </w:pPr>
            <w:r/>
            <w:r>
              <w:rPr>
                <w:rFonts w:ascii="BIZ UDPゴシック" w:hAnsi="BIZ UDPゴシック" w:eastAsia="BIZ UDPゴシック"/>
                <w:b w:val="0"/>
                <w:sz w:val="18"/>
              </w:rPr>
              <w:t>軽費老人ホーム</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0.0%</w:t>
            </w:r>
          </w:p>
        </w:tc>
      </w:tr>
      <w:tr>
        <w:trPr>
          <w:cantSplit/>
        </w:trPr>
        <w:tc>
          <w:tcPr>
            <w:tcW w:type="dxa" w:w="3402"/>
          </w:tcPr>
          <w:p>
            <w:pPr>
              <w:keepNext/>
              <w:spacing w:after="20" w:before="20"/>
            </w:pPr>
            <w:r/>
            <w:r>
              <w:rPr>
                <w:rFonts w:ascii="BIZ UDPゴシック" w:hAnsi="BIZ UDPゴシック" w:eastAsia="BIZ UDPゴシック"/>
                <w:b w:val="0"/>
                <w:sz w:val="18"/>
              </w:rPr>
              <w:t xml:space="preserve">　指定を受けないもの　小計</w:t>
            </w:r>
          </w:p>
        </w:tc>
        <w:tc>
          <w:tcPr>
            <w:tcW w:type="dxa" w:w="1361"/>
          </w:tcPr>
          <w:p>
            <w:pPr>
              <w:keepNext/>
              <w:spacing w:after="20" w:before="20"/>
              <w:jc w:val="right"/>
            </w:pPr>
            <w:r/>
            <w:r>
              <w:rPr>
                <w:rFonts w:ascii="BIZ UDPゴシック" w:hAnsi="BIZ UDPゴシック" w:eastAsia="BIZ UDPゴシック"/>
                <w:b w:val="0"/>
                <w:sz w:val="18"/>
              </w:rPr>
              <w:t>12</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474"/>
          </w:tcPr>
          <w:p>
            <w:pPr>
              <w:keepNext/>
              <w:spacing w:after="20" w:before="20"/>
              <w:jc w:val="right"/>
            </w:pPr>
            <w:r/>
            <w:r>
              <w:rPr>
                <w:rFonts w:ascii="BIZ UDPゴシック" w:hAnsi="BIZ UDPゴシック" w:eastAsia="BIZ UDPゴシック"/>
                <w:b w:val="0"/>
                <w:sz w:val="18"/>
              </w:rPr>
              <w:t>33.3%</w:t>
            </w:r>
          </w:p>
        </w:tc>
      </w:tr>
      <w:tr>
        <w:trPr>
          <w:cantSplit/>
        </w:trPr>
        <w:tc>
          <w:tcPr>
            <w:tcW w:type="dxa" w:w="3402"/>
          </w:tcPr>
          <w:p>
            <w:pPr>
              <w:spacing w:after="20" w:before="20"/>
            </w:pPr>
            <w:r/>
            <w:r>
              <w:rPr>
                <w:rFonts w:ascii="BIZ UDPゴシック" w:hAnsi="BIZ UDPゴシック" w:eastAsia="BIZ UDPゴシック"/>
                <w:b w:val="0"/>
                <w:sz w:val="18"/>
              </w:rPr>
              <w:t>合計</w:t>
            </w:r>
          </w:p>
        </w:tc>
        <w:tc>
          <w:tcPr>
            <w:tcW w:type="dxa" w:w="1361"/>
          </w:tcPr>
          <w:p>
            <w:pPr>
              <w:spacing w:after="20" w:before="20"/>
              <w:jc w:val="right"/>
            </w:pPr>
            <w:r/>
            <w:r>
              <w:rPr>
                <w:rFonts w:ascii="BIZ UDPゴシック" w:hAnsi="BIZ UDPゴシック" w:eastAsia="BIZ UDPゴシック"/>
                <w:b w:val="0"/>
                <w:sz w:val="18"/>
              </w:rPr>
              <w:t>31</w:t>
            </w:r>
          </w:p>
        </w:tc>
        <w:tc>
          <w:tcPr>
            <w:tcW w:type="dxa" w:w="1361"/>
          </w:tcPr>
          <w:p>
            <w:pPr>
              <w:spacing w:after="20" w:before="20"/>
              <w:jc w:val="right"/>
            </w:pPr>
            <w:r/>
            <w:r>
              <w:rPr>
                <w:rFonts w:ascii="BIZ UDPゴシック" w:hAnsi="BIZ UDPゴシック" w:eastAsia="BIZ UDPゴシック"/>
                <w:b w:val="0"/>
                <w:sz w:val="18"/>
              </w:rPr>
              <w:t>18</w:t>
            </w:r>
          </w:p>
        </w:tc>
        <w:tc>
          <w:tcPr>
            <w:tcW w:type="dxa" w:w="1361"/>
          </w:tcPr>
          <w:p>
            <w:pPr>
              <w:spacing w:after="20" w:before="20"/>
              <w:jc w:val="right"/>
            </w:pPr>
            <w:r/>
            <w:r>
              <w:rPr>
                <w:rFonts w:ascii="BIZ UDPゴシック" w:hAnsi="BIZ UDPゴシック" w:eastAsia="BIZ UDPゴシック"/>
                <w:b w:val="0"/>
                <w:sz w:val="18"/>
              </w:rPr>
              <w:t>13</w:t>
            </w:r>
          </w:p>
        </w:tc>
        <w:tc>
          <w:tcPr>
            <w:tcW w:type="dxa" w:w="1474"/>
          </w:tcPr>
          <w:p>
            <w:pPr>
              <w:spacing w:after="20" w:before="20"/>
              <w:jc w:val="right"/>
            </w:pPr>
            <w:r/>
            <w:r>
              <w:rPr>
                <w:rFonts w:ascii="BIZ UDPゴシック" w:hAnsi="BIZ UDPゴシック" w:eastAsia="BIZ UDPゴシック"/>
                <w:b w:val="0"/>
                <w:sz w:val="18"/>
              </w:rPr>
              <w:t>58.1%</w:t>
            </w:r>
          </w:p>
        </w:tc>
      </w:tr>
    </w:tbl>
    <w:p>
      <w:pPr>
        <w:spacing w:after="80" w:before="0"/>
      </w:pP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2件）、グループホームファミリー、グループホームくるみの郷、さわやか東神楽館（特定施設・区域内最大）が未回答です。定員による把握率は、指定を受けるものが61.1%（717人中438人）です。</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3175"/>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1247"/>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361"/>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317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361"/>
          </w:tcPr>
          <w:p>
            <w:pPr>
              <w:keepNext/>
              <w:spacing w:after="20" w:before="20"/>
              <w:jc w:val="right"/>
            </w:pPr>
            <w:r/>
            <w:r>
              <w:rPr>
                <w:rFonts w:ascii="BIZ UDPゴシック" w:hAnsi="BIZ UDPゴシック" w:eastAsia="BIZ UDPゴシック"/>
                <w:b w:val="0"/>
                <w:sz w:val="18"/>
              </w:rPr>
              <w:t>96.1%</w:t>
            </w:r>
          </w:p>
        </w:tc>
      </w:tr>
      <w:tr>
        <w:trPr>
          <w:cantSplit/>
        </w:trPr>
        <w:tc>
          <w:tcPr>
            <w:tcW w:type="dxa" w:w="317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361"/>
          </w:tcPr>
          <w:p>
            <w:pPr>
              <w:keepNext/>
              <w:spacing w:after="20" w:before="20"/>
              <w:jc w:val="right"/>
            </w:pPr>
            <w:r/>
            <w:r>
              <w:rPr>
                <w:rFonts w:ascii="BIZ UDPゴシック" w:hAnsi="BIZ UDPゴシック" w:eastAsia="BIZ UDPゴシック"/>
                <w:b w:val="0"/>
                <w:sz w:val="18"/>
              </w:rPr>
              <w:t>83.8%</w:t>
            </w:r>
          </w:p>
        </w:tc>
      </w:tr>
      <w:tr>
        <w:trPr>
          <w:cantSplit/>
        </w:trPr>
        <w:tc>
          <w:tcPr>
            <w:tcW w:type="dxa" w:w="317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5</w:t>
            </w:r>
          </w:p>
        </w:tc>
        <w:tc>
          <w:tcPr>
            <w:tcW w:type="dxa" w:w="1247"/>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361"/>
          </w:tcPr>
          <w:p>
            <w:pPr>
              <w:keepNext/>
              <w:spacing w:after="20" w:before="20"/>
              <w:jc w:val="right"/>
            </w:pPr>
            <w:r/>
            <w:r>
              <w:rPr>
                <w:rFonts w:ascii="BIZ UDPゴシック" w:hAnsi="BIZ UDPゴシック" w:eastAsia="BIZ UDPゴシック"/>
                <w:b w:val="0"/>
                <w:sz w:val="18"/>
              </w:rPr>
              <w:t>92.6%</w:t>
            </w:r>
          </w:p>
        </w:tc>
      </w:tr>
      <w:tr>
        <w:trPr>
          <w:cantSplit/>
        </w:trPr>
        <w:tc>
          <w:tcPr>
            <w:tcW w:type="dxa" w:w="317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1247"/>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361"/>
          </w:tcPr>
          <w:p>
            <w:pPr>
              <w:keepNext/>
              <w:spacing w:after="20" w:before="20"/>
              <w:jc w:val="right"/>
            </w:pPr>
            <w:r/>
            <w:r>
              <w:rPr>
                <w:rFonts w:ascii="BIZ UDPゴシック" w:hAnsi="BIZ UDPゴシック" w:eastAsia="BIZ UDPゴシック"/>
                <w:b w:val="0"/>
                <w:sz w:val="18"/>
              </w:rPr>
              <w:t>98.3%</w:t>
            </w:r>
          </w:p>
        </w:tc>
      </w:tr>
      <w:tr>
        <w:trPr>
          <w:cantSplit/>
        </w:trPr>
        <w:tc>
          <w:tcPr>
            <w:tcW w:type="dxa" w:w="317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361"/>
          </w:tcPr>
          <w:p>
            <w:pPr>
              <w:keepNext/>
              <w:spacing w:after="20" w:before="20"/>
              <w:jc w:val="right"/>
            </w:pPr>
            <w:r/>
            <w:r>
              <w:rPr>
                <w:rFonts w:ascii="BIZ UDPゴシック" w:hAnsi="BIZ UDPゴシック" w:eastAsia="BIZ UDPゴシック"/>
                <w:b w:val="0"/>
                <w:sz w:val="18"/>
              </w:rPr>
              <w:t>95.0%</w:t>
            </w:r>
          </w:p>
        </w:tc>
      </w:tr>
      <w:tr>
        <w:trPr>
          <w:cantSplit/>
        </w:trPr>
        <w:tc>
          <w:tcPr>
            <w:tcW w:type="dxa" w:w="317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18</w:t>
            </w:r>
          </w:p>
        </w:tc>
        <w:tc>
          <w:tcPr>
            <w:tcW w:type="dxa" w:w="1247"/>
          </w:tcPr>
          <w:p>
            <w:pPr>
              <w:keepNext/>
              <w:spacing w:after="20" w:before="20"/>
              <w:jc w:val="right"/>
            </w:pPr>
            <w:r/>
            <w:r>
              <w:rPr>
                <w:rFonts w:ascii="BIZ UDPゴシック" w:hAnsi="BIZ UDPゴシック" w:eastAsia="BIZ UDPゴシック"/>
                <w:b w:val="0"/>
                <w:sz w:val="18"/>
              </w:rPr>
              <w:t>652</w:t>
            </w:r>
          </w:p>
        </w:tc>
        <w:tc>
          <w:tcPr>
            <w:tcW w:type="dxa" w:w="1247"/>
          </w:tcPr>
          <w:p>
            <w:pPr>
              <w:keepNext/>
              <w:spacing w:after="20" w:before="20"/>
              <w:jc w:val="right"/>
            </w:pPr>
            <w:r/>
            <w:r>
              <w:rPr>
                <w:rFonts w:ascii="BIZ UDPゴシック" w:hAnsi="BIZ UDPゴシック" w:eastAsia="BIZ UDPゴシック"/>
                <w:b w:val="0"/>
                <w:sz w:val="18"/>
              </w:rPr>
              <w:t>594</w:t>
            </w:r>
          </w:p>
        </w:tc>
        <w:tc>
          <w:tcPr>
            <w:tcW w:type="dxa" w:w="1361"/>
          </w:tcPr>
          <w:p>
            <w:pPr>
              <w:keepNext/>
              <w:spacing w:after="20" w:before="20"/>
              <w:jc w:val="right"/>
            </w:pPr>
            <w:r/>
            <w:r>
              <w:rPr>
                <w:rFonts w:ascii="BIZ UDPゴシック" w:hAnsi="BIZ UDPゴシック" w:eastAsia="BIZ UDPゴシック"/>
                <w:b w:val="0"/>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種別ごとの入所率（回答した18施設）</w:t>
      </w:r>
    </w:p>
    <w:p>
      <w:pPr>
        <w:keepLines/>
        <w:spacing w:after="160" w:before="0"/>
        <w:jc w:val="center"/>
      </w:pPr>
      <w:r>
        <w:drawing>
          <wp:inline xmlns:a="http://schemas.openxmlformats.org/drawingml/2006/main" xmlns:pic="http://schemas.openxmlformats.org/drawingml/2006/picture">
            <wp:extent cx="5616000" cy="1920941"/>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616000" cy="1920941"/>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175"/>
            <w:shd w:val="clear" w:fill="F2F2F2"/>
          </w:tcPr>
          <w:p>
            <w:pPr>
              <w:keepNext/>
              <w:spacing w:after="20" w:before="20"/>
              <w:jc w:val="center"/>
            </w:pPr>
            <w:r/>
            <w:r>
              <w:rPr>
                <w:rFonts w:ascii="BIZ UDPゴシック" w:hAnsi="BIZ UDPゴシック" w:eastAsia="BIZ UDPゴシック"/>
                <w:b/>
                <w:sz w:val="18"/>
              </w:rPr>
              <w:t>種別</w:t>
            </w:r>
          </w:p>
        </w:tc>
        <w:tc>
          <w:tcPr>
            <w:tcW w:type="dxa" w:w="1361"/>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3175"/>
          </w:tcPr>
          <w:p>
            <w:pPr>
              <w:keepNext/>
              <w:spacing w:after="20" w:before="20"/>
            </w:pPr>
            <w:r/>
            <w:r>
              <w:rPr>
                <w:rFonts w:ascii="BIZ UDPゴシック" w:hAnsi="BIZ UDPゴシック" w:eastAsia="BIZ UDPゴシック"/>
                <w:b w:val="0"/>
                <w:sz w:val="18"/>
              </w:rPr>
              <w:t>グループホーム</w:t>
            </w:r>
          </w:p>
        </w:tc>
        <w:tc>
          <w:tcPr>
            <w:tcW w:type="dxa" w:w="1361"/>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29.3%</w:t>
            </w:r>
          </w:p>
        </w:tc>
      </w:tr>
      <w:tr>
        <w:trPr>
          <w:cantSplit/>
        </w:trPr>
        <w:tc>
          <w:tcPr>
            <w:tcW w:type="dxa" w:w="3175"/>
          </w:tcPr>
          <w:p>
            <w:pPr>
              <w:keepNext/>
              <w:spacing w:after="20" w:before="20"/>
            </w:pPr>
            <w:r/>
            <w:r>
              <w:rPr>
                <w:rFonts w:ascii="BIZ UDPゴシック" w:hAnsi="BIZ UDPゴシック" w:eastAsia="BIZ UDPゴシック"/>
                <w:b w:val="0"/>
                <w:sz w:val="18"/>
              </w:rPr>
              <w:t>住宅型有料・サ高住</w:t>
            </w:r>
          </w:p>
        </w:tc>
        <w:tc>
          <w:tcPr>
            <w:tcW w:type="dxa" w:w="1361"/>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40.9%</w:t>
            </w:r>
          </w:p>
        </w:tc>
      </w:tr>
      <w:tr>
        <w:trPr>
          <w:cantSplit/>
        </w:trPr>
        <w:tc>
          <w:tcPr>
            <w:tcW w:type="dxa" w:w="3175"/>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val="0"/>
                <w:sz w:val="18"/>
              </w:rPr>
              <w:t>40.3%</w:t>
            </w:r>
          </w:p>
        </w:tc>
      </w:tr>
      <w:tr>
        <w:trPr>
          <w:cantSplit/>
        </w:trPr>
        <w:tc>
          <w:tcPr>
            <w:tcW w:type="dxa" w:w="3175"/>
          </w:tcPr>
          <w:p>
            <w:pPr>
              <w:keepNext/>
              <w:spacing w:after="20" w:before="20"/>
            </w:pPr>
            <w:r/>
            <w:r>
              <w:rPr>
                <w:rFonts w:ascii="BIZ UDPゴシック" w:hAnsi="BIZ UDPゴシック" w:eastAsia="BIZ UDPゴシック"/>
                <w:b w:val="0"/>
                <w:sz w:val="18"/>
              </w:rPr>
              <w:t>特定施設</w:t>
            </w:r>
          </w:p>
        </w:tc>
        <w:tc>
          <w:tcPr>
            <w:tcW w:type="dxa" w:w="1361"/>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val="0"/>
                <w:sz w:val="18"/>
              </w:rPr>
              <w:t>31.6%</w:t>
            </w:r>
          </w:p>
        </w:tc>
      </w:tr>
      <w:tr>
        <w:trPr>
          <w:cantSplit/>
        </w:trPr>
        <w:tc>
          <w:tcPr>
            <w:tcW w:type="dxa" w:w="3175"/>
          </w:tcPr>
          <w:p>
            <w:pPr>
              <w:spacing w:after="20" w:before="20"/>
            </w:pPr>
            <w:r/>
            <w:r>
              <w:rPr>
                <w:rFonts w:ascii="BIZ UDPゴシック" w:hAnsi="BIZ UDPゴシック" w:eastAsia="BIZ UDPゴシック"/>
                <w:b w:val="0"/>
                <w:sz w:val="18"/>
              </w:rPr>
              <w:t>特養・地域密着型特養</w:t>
            </w:r>
          </w:p>
        </w:tc>
        <w:tc>
          <w:tcPr>
            <w:tcW w:type="dxa" w:w="1361"/>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種別ごとの入所者の要介護度（重いほど濃い）</w:t>
      </w:r>
    </w:p>
    <w:p>
      <w:pPr>
        <w:keepLines/>
        <w:spacing w:after="160" w:before="0"/>
        <w:jc w:val="center"/>
      </w:pPr>
      <w:r>
        <w:drawing>
          <wp:inline xmlns:a="http://schemas.openxmlformats.org/drawingml/2006/main" xmlns:pic="http://schemas.openxmlformats.org/drawingml/2006/picture">
            <wp:extent cx="5616000" cy="3669704"/>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616000" cy="3669704"/>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val="0"/>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19.3%</w:t>
            </w:r>
          </w:p>
        </w:tc>
      </w:tr>
      <w:tr>
        <w:trPr>
          <w:cantSplit/>
        </w:trPr>
        <w:tc>
          <w:tcPr>
            <w:tcW w:type="dxa" w:w="4535"/>
          </w:tcPr>
          <w:p>
            <w:pPr>
              <w:spacing w:after="20" w:before="20"/>
            </w:pPr>
            <w:r/>
            <w:r>
              <w:rPr>
                <w:rFonts w:ascii="BIZ UDPゴシック" w:hAnsi="BIZ UDPゴシック" w:eastAsia="BIZ UDPゴシック"/>
                <w:b w:val="0"/>
                <w:sz w:val="18"/>
              </w:rPr>
              <w:t>合計（n=57）</w:t>
            </w:r>
          </w:p>
        </w:tc>
        <w:tc>
          <w:tcPr>
            <w:tcW w:type="dxa" w:w="170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val="0"/>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val="0"/>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val="0"/>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8.4%</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154</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特定施設入居者生活介護の入居者の要介護度（154人）</w:t>
      </w:r>
    </w:p>
    <w:p>
      <w:pPr>
        <w:keepLines/>
        <w:spacing w:after="160" w:before="0"/>
        <w:jc w:val="center"/>
      </w:pPr>
      <w:r>
        <w:drawing>
          <wp:inline xmlns:a="http://schemas.openxmlformats.org/drawingml/2006/main" xmlns:pic="http://schemas.openxmlformats.org/drawingml/2006/picture">
            <wp:extent cx="5616000" cy="2483296"/>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616000" cy="2483296"/>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val="0"/>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val="0"/>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val="0"/>
                <w:sz w:val="18"/>
              </w:rPr>
              <w:t>合計</w:t>
            </w:r>
          </w:p>
        </w:tc>
        <w:tc>
          <w:tcPr>
            <w:tcW w:type="dxa" w:w="1361"/>
          </w:tcPr>
          <w:p>
            <w:pPr>
              <w:keepNext/>
              <w:spacing w:after="20" w:before="20"/>
              <w:jc w:val="right"/>
            </w:pPr>
            <w:r/>
            <w:r>
              <w:rPr>
                <w:rFonts w:ascii="BIZ UDPゴシック" w:hAnsi="BIZ UDPゴシック" w:eastAsia="BIZ UDPゴシック"/>
                <w:b w:val="0"/>
                <w:sz w:val="18"/>
              </w:rPr>
              <w:t>335</w:t>
            </w:r>
          </w:p>
        </w:tc>
        <w:tc>
          <w:tcPr>
            <w:tcW w:type="dxa" w:w="1361"/>
          </w:tcPr>
          <w:p>
            <w:pPr>
              <w:keepNext/>
              <w:spacing w:after="20" w:before="20"/>
              <w:jc w:val="right"/>
            </w:pPr>
            <w:r/>
            <w:r>
              <w:rPr>
                <w:rFonts w:ascii="BIZ UDPゴシック" w:hAnsi="BIZ UDPゴシック" w:eastAsia="BIZ UDPゴシック"/>
                <w:b w:val="0"/>
                <w:sz w:val="18"/>
              </w:rPr>
              <w:t>100.0%</w:t>
            </w:r>
          </w:p>
        </w:tc>
        <w:tc>
          <w:tcPr>
            <w:tcW w:type="dxa" w:w="1361"/>
          </w:tcPr>
          <w:p>
            <w:pPr>
              <w:keepNext/>
              <w:spacing w:after="20" w:before="20"/>
              <w:jc w:val="right"/>
            </w:pPr>
            <w:r/>
            <w:r>
              <w:rPr>
                <w:rFonts w:ascii="BIZ UDPゴシック" w:hAnsi="BIZ UDPゴシック" w:eastAsia="BIZ UDPゴシック"/>
                <w:b w:val="0"/>
                <w:sz w:val="18"/>
              </w:rPr>
              <w:t>198</w:t>
            </w:r>
          </w:p>
        </w:tc>
        <w:tc>
          <w:tcPr>
            <w:tcW w:type="dxa" w:w="1361"/>
          </w:tcPr>
          <w:p>
            <w:pPr>
              <w:keepNext/>
              <w:spacing w:after="20" w:before="20"/>
              <w:jc w:val="right"/>
            </w:pPr>
            <w:r/>
            <w:r>
              <w:rPr>
                <w:rFonts w:ascii="BIZ UDPゴシック" w:hAnsi="BIZ UDPゴシック" w:eastAsia="BIZ UDPゴシック"/>
                <w:b w:val="0"/>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新規入所者の入所前の居場所（335人）</w:t>
      </w:r>
    </w:p>
    <w:p>
      <w:pPr>
        <w:keepLines/>
        <w:spacing w:after="160" w:before="0"/>
        <w:jc w:val="center"/>
      </w:pPr>
      <w:r>
        <w:drawing>
          <wp:inline xmlns:a="http://schemas.openxmlformats.org/drawingml/2006/main" xmlns:pic="http://schemas.openxmlformats.org/drawingml/2006/picture">
            <wp:extent cx="5616000" cy="1352153"/>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616000" cy="1352153"/>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val="0"/>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val="0"/>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17.8%</w:t>
            </w:r>
          </w:p>
        </w:tc>
      </w:tr>
      <w:tr>
        <w:trPr>
          <w:cantSplit/>
        </w:trPr>
        <w:tc>
          <w:tcPr>
            <w:tcW w:type="dxa" w:w="283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198</w:t>
            </w:r>
          </w:p>
        </w:tc>
        <w:tc>
          <w:tcPr>
            <w:tcW w:type="dxa" w:w="1247"/>
          </w:tcPr>
          <w:p>
            <w:pPr>
              <w:keepNext/>
              <w:spacing w:after="20" w:before="20"/>
              <w:jc w:val="right"/>
            </w:pPr>
            <w:r/>
            <w:r>
              <w:rPr>
                <w:rFonts w:ascii="BIZ UDPゴシック" w:hAnsi="BIZ UDPゴシック" w:eastAsia="BIZ UDPゴシック"/>
                <w:b w:val="0"/>
                <w:sz w:val="18"/>
              </w:rPr>
              <w:t>137</w:t>
            </w:r>
          </w:p>
        </w:tc>
        <w:tc>
          <w:tcPr>
            <w:tcW w:type="dxa" w:w="1247"/>
          </w:tcPr>
          <w:p>
            <w:pPr>
              <w:keepNext/>
              <w:spacing w:after="20" w:before="20"/>
              <w:jc w:val="right"/>
            </w:pPr>
            <w:r/>
            <w:r>
              <w:rPr>
                <w:rFonts w:ascii="BIZ UDPゴシック" w:hAnsi="BIZ UDPゴシック" w:eastAsia="BIZ UDPゴシック"/>
                <w:b w:val="0"/>
                <w:sz w:val="18"/>
              </w:rPr>
              <w:t>335</w:t>
            </w:r>
          </w:p>
        </w:tc>
        <w:tc>
          <w:tcPr>
            <w:tcW w:type="dxa" w:w="1701"/>
          </w:tcPr>
          <w:p>
            <w:pPr>
              <w:keepNext/>
              <w:spacing w:after="20" w:before="20"/>
              <w:jc w:val="right"/>
            </w:pPr>
            <w:r/>
            <w:r>
              <w:rPr>
                <w:rFonts w:ascii="BIZ UDPゴシック" w:hAnsi="BIZ UDPゴシック" w:eastAsia="BIZ UDPゴシック"/>
                <w:b w:val="0"/>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w:t>
      </w:r>
    </w:p>
    <w:p>
      <w:pPr>
        <w:keepLines/>
        <w:spacing w:after="160" w:before="0"/>
        <w:jc w:val="center"/>
      </w:pPr>
      <w:r>
        <w:drawing>
          <wp:inline xmlns:a="http://schemas.openxmlformats.org/drawingml/2006/main" xmlns:pic="http://schemas.openxmlformats.org/drawingml/2006/picture">
            <wp:extent cx="5616000" cy="3534378"/>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616000" cy="3534378"/>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val="0"/>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val="0"/>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13.5%</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349</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退去者の退去先（349人）</w:t>
      </w:r>
    </w:p>
    <w:p>
      <w:pPr>
        <w:keepLines/>
        <w:spacing w:after="160" w:before="0"/>
        <w:jc w:val="center"/>
      </w:pPr>
      <w:r>
        <w:drawing>
          <wp:inline xmlns:a="http://schemas.openxmlformats.org/drawingml/2006/main" xmlns:pic="http://schemas.openxmlformats.org/drawingml/2006/picture">
            <wp:extent cx="5616000" cy="1660763"/>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616000" cy="1660763"/>
                    </a:xfrm>
                    <a:prstGeom prst="rect"/>
                  </pic:spPr>
                </pic:pic>
              </a:graphicData>
            </a:graphic>
          </wp:inline>
        </w:drawing>
      </w:r>
    </w:p>
    <w:tbl>
      <w:tblPr>
        <w:tblStyle w:val="TableGrid"/>
        <w:tblW w:type="auto" w:w="0"/>
        <w:jc w:val="center"/>
        <w:tblLook w:firstColumn="1" w:firstRow="1" w:lastColumn="0" w:lastRow="0" w:noHBand="0" w:noVBand="1" w:val="04A0"/>
      </w:tblPr>
      <w:tblGrid>
        <w:gridCol w:w="5046"/>
        <w:gridCol w:w="5046"/>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退去理由（複数回答）</w:t>
      </w:r>
    </w:p>
    <w:p>
      <w:pPr>
        <w:keepLines/>
        <w:spacing w:after="160" w:before="0"/>
        <w:jc w:val="center"/>
      </w:pPr>
      <w:r>
        <w:drawing>
          <wp:inline xmlns:a="http://schemas.openxmlformats.org/drawingml/2006/main" xmlns:pic="http://schemas.openxmlformats.org/drawingml/2006/picture">
            <wp:extent cx="5616000" cy="2653673"/>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616000" cy="2653673"/>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val="0"/>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受け入れ可能な医療処置（複数回答・18施設）</w:t>
      </w:r>
    </w:p>
    <w:p>
      <w:pPr>
        <w:keepLines/>
        <w:spacing w:after="160" w:before="0"/>
        <w:jc w:val="center"/>
      </w:pPr>
      <w:r>
        <w:drawing>
          <wp:inline xmlns:a="http://schemas.openxmlformats.org/drawingml/2006/main" xmlns:pic="http://schemas.openxmlformats.org/drawingml/2006/picture">
            <wp:extent cx="5616000" cy="3793531"/>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616000" cy="3793531"/>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3969"/>
            <w:shd w:val="clear" w:fill="F2F2F2"/>
          </w:tcPr>
          <w:p>
            <w:pPr>
              <w:keepNext/>
              <w:spacing w:after="20" w:before="20"/>
              <w:jc w:val="center"/>
            </w:pPr>
            <w:r/>
            <w:r>
              <w:rPr>
                <w:rFonts w:ascii="BIZ UDPゴシック" w:hAnsi="BIZ UDPゴシック" w:eastAsia="BIZ UDPゴシック"/>
                <w:b/>
                <w:sz w:val="18"/>
              </w:rPr>
              <w:t>サービス区分</w:t>
            </w:r>
          </w:p>
        </w:tc>
        <w:tc>
          <w:tcPr>
            <w:tcW w:type="dxa" w:w="1701"/>
            <w:shd w:val="clear" w:fill="F2F2F2"/>
          </w:tcPr>
          <w:p>
            <w:pPr>
              <w:keepNext/>
              <w:spacing w:after="20" w:before="20"/>
              <w:jc w:val="center"/>
            </w:pPr>
            <w:r/>
            <w:r>
              <w:rPr>
                <w:rFonts w:ascii="BIZ UDPゴシック" w:hAnsi="BIZ UDPゴシック" w:eastAsia="BIZ UDPゴシック"/>
                <w:b/>
                <w:sz w:val="18"/>
              </w:rPr>
              <w:t>事業所数</w:t>
            </w:r>
          </w:p>
        </w:tc>
        <w:tc>
          <w:tcPr>
            <w:tcW w:type="dxa" w:w="170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3969"/>
          </w:tcPr>
          <w:p>
            <w:pPr>
              <w:keepNext/>
              <w:spacing w:after="20" w:before="20"/>
            </w:pPr>
            <w:r/>
            <w:r>
              <w:rPr>
                <w:rFonts w:ascii="BIZ UDPゴシック" w:hAnsi="BIZ UDPゴシック" w:eastAsia="BIZ UDPゴシック"/>
                <w:b w:val="0"/>
                <w:sz w:val="18"/>
              </w:rPr>
              <w:t>特養</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3969"/>
          </w:tcPr>
          <w:p>
            <w:pPr>
              <w:keepNext/>
              <w:spacing w:after="20" w:before="20"/>
            </w:pPr>
            <w:r/>
            <w:r>
              <w:rPr>
                <w:rFonts w:ascii="BIZ UDPゴシック" w:hAnsi="BIZ UDPゴシック" w:eastAsia="BIZ UDPゴシック"/>
                <w:b w:val="0"/>
                <w:sz w:val="18"/>
              </w:rPr>
              <w:t>地密特養</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22</w:t>
            </w:r>
          </w:p>
        </w:tc>
      </w:tr>
      <w:tr>
        <w:trPr>
          <w:cantSplit/>
        </w:trPr>
        <w:tc>
          <w:tcPr>
            <w:tcW w:type="dxa" w:w="3969"/>
          </w:tcPr>
          <w:p>
            <w:pPr>
              <w:keepNext/>
              <w:spacing w:after="20" w:before="20"/>
            </w:pPr>
            <w:r/>
            <w:r>
              <w:rPr>
                <w:rFonts w:ascii="BIZ UDPゴシック" w:hAnsi="BIZ UDPゴシック" w:eastAsia="BIZ UDPゴシック"/>
                <w:b w:val="0"/>
                <w:sz w:val="18"/>
              </w:rPr>
              <w:t>老健</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77</w:t>
            </w:r>
          </w:p>
        </w:tc>
      </w:tr>
      <w:tr>
        <w:trPr>
          <w:cantSplit/>
        </w:trPr>
        <w:tc>
          <w:tcPr>
            <w:tcW w:type="dxa" w:w="3969"/>
          </w:tcPr>
          <w:p>
            <w:pPr>
              <w:keepNext/>
              <w:spacing w:after="20" w:before="20"/>
            </w:pPr>
            <w:r/>
            <w:r>
              <w:rPr>
                <w:rFonts w:ascii="BIZ UDPゴシック" w:hAnsi="BIZ UDPゴシック" w:eastAsia="BIZ UDPゴシック"/>
                <w:b w:val="0"/>
                <w:sz w:val="18"/>
              </w:rPr>
              <w:t>通所リハ</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23</w:t>
            </w:r>
          </w:p>
        </w:tc>
      </w:tr>
      <w:tr>
        <w:trPr>
          <w:cantSplit/>
        </w:trPr>
        <w:tc>
          <w:tcPr>
            <w:tcW w:type="dxa" w:w="3969"/>
          </w:tcPr>
          <w:p>
            <w:pPr>
              <w:keepNext/>
              <w:spacing w:after="20" w:before="20"/>
            </w:pPr>
            <w:r/>
            <w:r>
              <w:rPr>
                <w:rFonts w:ascii="BIZ UDPゴシック" w:hAnsi="BIZ UDPゴシック" w:eastAsia="BIZ UDPゴシック"/>
                <w:b w:val="0"/>
                <w:sz w:val="18"/>
              </w:rPr>
              <w:t>通所介護等</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17</w:t>
            </w:r>
          </w:p>
        </w:tc>
      </w:tr>
      <w:tr>
        <w:trPr>
          <w:cantSplit/>
        </w:trPr>
        <w:tc>
          <w:tcPr>
            <w:tcW w:type="dxa" w:w="3969"/>
          </w:tcPr>
          <w:p>
            <w:pPr>
              <w:keepNext/>
              <w:spacing w:after="20" w:before="20"/>
            </w:pPr>
            <w:r/>
            <w:r>
              <w:rPr>
                <w:rFonts w:ascii="BIZ UDPゴシック" w:hAnsi="BIZ UDPゴシック" w:eastAsia="BIZ UDPゴシック"/>
                <w:b w:val="0"/>
                <w:sz w:val="18"/>
              </w:rPr>
              <w:t>GH</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83</w:t>
            </w:r>
          </w:p>
        </w:tc>
      </w:tr>
      <w:tr>
        <w:trPr>
          <w:cantSplit/>
        </w:trPr>
        <w:tc>
          <w:tcPr>
            <w:tcW w:type="dxa" w:w="3969"/>
          </w:tcPr>
          <w:p>
            <w:pPr>
              <w:keepNext/>
              <w:spacing w:after="20" w:before="20"/>
            </w:pPr>
            <w:r/>
            <w:r>
              <w:rPr>
                <w:rFonts w:ascii="BIZ UDPゴシック" w:hAnsi="BIZ UDPゴシック" w:eastAsia="BIZ UDPゴシック"/>
                <w:b w:val="0"/>
                <w:sz w:val="18"/>
              </w:rPr>
              <w:t>特定施設</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23</w:t>
            </w:r>
          </w:p>
        </w:tc>
      </w:tr>
      <w:tr>
        <w:trPr>
          <w:cantSplit/>
        </w:trPr>
        <w:tc>
          <w:tcPr>
            <w:tcW w:type="dxa" w:w="3969"/>
          </w:tcPr>
          <w:p>
            <w:pPr>
              <w:keepNext/>
              <w:spacing w:after="20" w:before="20"/>
            </w:pPr>
            <w:r/>
            <w:r>
              <w:rPr>
                <w:rFonts w:ascii="BIZ UDPゴシック" w:hAnsi="BIZ UDPゴシック" w:eastAsia="BIZ UDPゴシック"/>
                <w:b w:val="0"/>
                <w:sz w:val="18"/>
              </w:rPr>
              <w:t>住宅型有料</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10</w:t>
            </w:r>
          </w:p>
        </w:tc>
      </w:tr>
      <w:tr>
        <w:trPr>
          <w:cantSplit/>
        </w:trPr>
        <w:tc>
          <w:tcPr>
            <w:tcW w:type="dxa" w:w="3969"/>
          </w:tcPr>
          <w:p>
            <w:pPr>
              <w:keepNext/>
              <w:spacing w:after="20" w:before="20"/>
            </w:pPr>
            <w:r/>
            <w:r>
              <w:rPr>
                <w:rFonts w:ascii="BIZ UDPゴシック" w:hAnsi="BIZ UDPゴシック" w:eastAsia="BIZ UDPゴシック"/>
                <w:b w:val="0"/>
                <w:sz w:val="18"/>
              </w:rPr>
              <w:t>サ高住</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0</w:t>
            </w:r>
          </w:p>
        </w:tc>
      </w:tr>
      <w:tr>
        <w:trPr>
          <w:cantSplit/>
        </w:trPr>
        <w:tc>
          <w:tcPr>
            <w:tcW w:type="dxa" w:w="3969"/>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42</w:t>
            </w:r>
          </w:p>
        </w:tc>
      </w:tr>
      <w:tr>
        <w:trPr>
          <w:cantSplit/>
        </w:trPr>
        <w:tc>
          <w:tcPr>
            <w:tcW w:type="dxa" w:w="3969"/>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27</w:t>
            </w:r>
          </w:p>
        </w:tc>
        <w:tc>
          <w:tcPr>
            <w:tcW w:type="dxa" w:w="1701"/>
          </w:tcPr>
          <w:p>
            <w:pPr>
              <w:keepNext/>
              <w:spacing w:after="20" w:before="20"/>
              <w:jc w:val="right"/>
            </w:pPr>
            <w:r/>
            <w:r>
              <w:rPr>
                <w:rFonts w:ascii="BIZ UDPゴシック" w:hAnsi="BIZ UDPゴシック" w:eastAsia="BIZ UDPゴシック"/>
                <w:b w:val="0"/>
                <w:sz w:val="18"/>
              </w:rPr>
              <w:t>348</w:t>
            </w:r>
          </w:p>
        </w:tc>
      </w:tr>
    </w:tbl>
    <w:p>
      <w:pPr>
        <w:keepNext/>
        <w:spacing w:after="80" w:before="0"/>
      </w:pPr>
    </w:p>
    <w:p>
      <w:pPr>
        <w:keepNext/>
        <w:keepLines/>
        <w:spacing w:before="120" w:after="40"/>
      </w:pPr>
      <w:r>
        <w:rPr>
          <w:rFonts w:ascii="BIZ UDPゴシック" w:hAnsi="BIZ UDPゴシック" w:eastAsia="BIZ UDPゴシック"/>
          <w:b/>
          <w:sz w:val="18"/>
        </w:rPr>
        <w:t>【図表21】　サービス区分別の介護職員数（348人・重複を除く）</w:t>
      </w:r>
    </w:p>
    <w:p>
      <w:pPr>
        <w:keepLines/>
        <w:spacing w:after="160" w:before="0"/>
        <w:jc w:val="center"/>
      </w:pPr>
      <w:r>
        <w:drawing>
          <wp:inline xmlns:a="http://schemas.openxmlformats.org/drawingml/2006/main" xmlns:pic="http://schemas.openxmlformats.org/drawingml/2006/picture">
            <wp:extent cx="5616000" cy="3137306"/>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616000" cy="3137306"/>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サービス区分は、事業所票の種別と事業所名により受託者が付したものです。住宅型有料老人ホームの介護職員数は、同一法人の訪問介護事業所と重複する13人を除いた後の数値です。</w:t>
      </w:r>
    </w:p>
    <w:p>
      <w:pPr>
        <w:pStyle w:val="Heading2"/>
        <w:keepNext/>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令和７年10月４日）では介護職員は常勤10人・非常勤７人であり、常勤の人数は一致します。未記入の非常勤は６人程度とみられます。常勤・非常勤の割合は、記入のあった313人を分母としています。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w:t>
      </w:r>
    </w:p>
    <w:p>
      <w:pPr>
        <w:keepLines/>
        <w:spacing w:after="160" w:before="0"/>
        <w:jc w:val="center"/>
      </w:pPr>
      <w:r>
        <w:drawing>
          <wp:inline xmlns:a="http://schemas.openxmlformats.org/drawingml/2006/main" xmlns:pic="http://schemas.openxmlformats.org/drawingml/2006/picture">
            <wp:extent cx="5616000" cy="1947449"/>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616000" cy="1947449"/>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928"/>
            <w:shd w:val="clear" w:fill="F2F2F2"/>
          </w:tcPr>
          <w:p>
            <w:pPr>
              <w:keepNext/>
              <w:spacing w:after="20" w:before="20"/>
              <w:jc w:val="center"/>
            </w:pPr>
            <w:r/>
            <w:r>
              <w:rPr>
                <w:rFonts w:ascii="BIZ UDPゴシック" w:hAnsi="BIZ UDPゴシック" w:eastAsia="BIZ UDPゴシック"/>
                <w:b/>
                <w:sz w:val="18"/>
              </w:rPr>
              <w:t>人数</w:t>
            </w:r>
          </w:p>
        </w:tc>
        <w:tc>
          <w:tcPr>
            <w:tcW w:type="dxa" w:w="2494"/>
            <w:shd w:val="clear" w:fill="F2F2F2"/>
          </w:tcPr>
          <w:p>
            <w:pPr>
              <w:keepNext/>
              <w:spacing w:after="20" w:before="20"/>
              <w:jc w:val="center"/>
            </w:pPr>
            <w:r/>
            <w:r>
              <w:rPr>
                <w:rFonts w:ascii="BIZ UDPゴシック" w:hAnsi="BIZ UDPゴシック" w:eastAsia="BIZ UDPゴシック"/>
                <w:b/>
                <w:sz w:val="18"/>
              </w:rPr>
              <w:t>介護職員に対する割合</w:t>
            </w:r>
          </w:p>
        </w:tc>
      </w:tr>
      <w:tr>
        <w:trPr>
          <w:cantSplit/>
        </w:trPr>
        <w:tc>
          <w:tcPr>
            <w:tcW w:type="dxa" w:w="3402"/>
          </w:tcPr>
          <w:p>
            <w:pPr>
              <w:keepNext/>
              <w:spacing w:after="20" w:before="20"/>
            </w:pPr>
            <w:r/>
            <w:r>
              <w:rPr>
                <w:rFonts w:ascii="BIZ UDPゴシック" w:hAnsi="BIZ UDPゴシック" w:eastAsia="BIZ UDPゴシック"/>
                <w:b w:val="0"/>
                <w:sz w:val="18"/>
              </w:rPr>
              <w:t>採用者数</w:t>
            </w:r>
          </w:p>
        </w:tc>
        <w:tc>
          <w:tcPr>
            <w:tcW w:type="dxa" w:w="1928"/>
          </w:tcPr>
          <w:p>
            <w:pPr>
              <w:keepNext/>
              <w:spacing w:after="20" w:before="20"/>
              <w:jc w:val="right"/>
            </w:pPr>
            <w:r/>
            <w:r>
              <w:rPr>
                <w:rFonts w:ascii="BIZ UDPゴシック" w:hAnsi="BIZ UDPゴシック" w:eastAsia="BIZ UDPゴシック"/>
                <w:b w:val="0"/>
                <w:sz w:val="18"/>
              </w:rPr>
              <w:t>83〜90</w:t>
            </w:r>
          </w:p>
        </w:tc>
        <w:tc>
          <w:tcPr>
            <w:tcW w:type="dxa" w:w="2494"/>
          </w:tcPr>
          <w:p>
            <w:pPr>
              <w:keepNext/>
              <w:spacing w:after="20" w:before="20"/>
              <w:jc w:val="right"/>
            </w:pPr>
            <w:r/>
            <w:r>
              <w:rPr>
                <w:rFonts w:ascii="BIZ UDPゴシック" w:hAnsi="BIZ UDPゴシック" w:eastAsia="BIZ UDPゴシック"/>
                <w:b w:val="0"/>
                <w:sz w:val="18"/>
              </w:rPr>
              <w:t>23.0〜25.9%</w:t>
            </w:r>
          </w:p>
        </w:tc>
      </w:tr>
      <w:tr>
        <w:trPr>
          <w:cantSplit/>
        </w:trPr>
        <w:tc>
          <w:tcPr>
            <w:tcW w:type="dxa" w:w="3402"/>
          </w:tcPr>
          <w:p>
            <w:pPr>
              <w:keepNext/>
              <w:spacing w:after="20" w:before="20"/>
            </w:pPr>
            <w:r/>
            <w:r>
              <w:rPr>
                <w:rFonts w:ascii="BIZ UDPゴシック" w:hAnsi="BIZ UDPゴシック" w:eastAsia="BIZ UDPゴシック"/>
                <w:b w:val="0"/>
                <w:sz w:val="18"/>
              </w:rPr>
              <w:t>離職者数</w:t>
            </w:r>
          </w:p>
        </w:tc>
        <w:tc>
          <w:tcPr>
            <w:tcW w:type="dxa" w:w="1928"/>
          </w:tcPr>
          <w:p>
            <w:pPr>
              <w:keepNext/>
              <w:spacing w:after="20" w:before="20"/>
              <w:jc w:val="right"/>
            </w:pPr>
            <w:r/>
            <w:r>
              <w:rPr>
                <w:rFonts w:ascii="BIZ UDPゴシック" w:hAnsi="BIZ UDPゴシック" w:eastAsia="BIZ UDPゴシック"/>
                <w:b w:val="0"/>
                <w:sz w:val="18"/>
              </w:rPr>
              <w:t>65〜67</w:t>
            </w:r>
          </w:p>
        </w:tc>
        <w:tc>
          <w:tcPr>
            <w:tcW w:type="dxa" w:w="2494"/>
          </w:tcPr>
          <w:p>
            <w:pPr>
              <w:keepNext/>
              <w:spacing w:after="20" w:before="20"/>
              <w:jc w:val="right"/>
            </w:pPr>
            <w:r/>
            <w:r>
              <w:rPr>
                <w:rFonts w:ascii="BIZ UDPゴシック" w:hAnsi="BIZ UDPゴシック" w:eastAsia="BIZ UDPゴシック"/>
                <w:b w:val="0"/>
                <w:sz w:val="18"/>
              </w:rPr>
              <w:t>18.0〜19.3%</w:t>
            </w:r>
          </w:p>
        </w:tc>
      </w:tr>
      <w:tr>
        <w:trPr>
          <w:cantSplit/>
        </w:trPr>
        <w:tc>
          <w:tcPr>
            <w:tcW w:type="dxa" w:w="3402"/>
          </w:tcPr>
          <w:p>
            <w:pPr>
              <w:keepNext/>
              <w:spacing w:after="20" w:before="20"/>
            </w:pPr>
            <w:r/>
            <w:r>
              <w:rPr>
                <w:rFonts w:ascii="BIZ UDPゴシック" w:hAnsi="BIZ UDPゴシック" w:eastAsia="BIZ UDPゴシック"/>
                <w:b w:val="0"/>
                <w:sz w:val="18"/>
              </w:rPr>
              <w:t>差（採用－離職）</w:t>
            </w:r>
          </w:p>
        </w:tc>
        <w:tc>
          <w:tcPr>
            <w:tcW w:type="dxa" w:w="1928"/>
          </w:tcPr>
          <w:p>
            <w:pPr>
              <w:keepNext/>
              <w:spacing w:after="20" w:before="20"/>
              <w:jc w:val="right"/>
            </w:pPr>
            <w:r/>
            <w:r>
              <w:rPr>
                <w:rFonts w:ascii="BIZ UDPゴシック" w:hAnsi="BIZ UDPゴシック" w:eastAsia="BIZ UDPゴシック"/>
                <w:b w:val="0"/>
                <w:sz w:val="18"/>
              </w:rPr>
              <w:t>+18〜+23</w:t>
            </w:r>
          </w:p>
        </w:tc>
        <w:tc>
          <w:tcPr>
            <w:tcW w:type="dxa" w:w="2494"/>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令和6年度の採用者数と離職者数（重複を除く）</w:t>
      </w:r>
    </w:p>
    <w:p>
      <w:pPr>
        <w:keepLines/>
        <w:spacing w:after="160" w:before="0"/>
        <w:jc w:val="center"/>
      </w:pPr>
      <w:r>
        <w:drawing>
          <wp:inline xmlns:a="http://schemas.openxmlformats.org/drawingml/2006/main" xmlns:pic="http://schemas.openxmlformats.org/drawingml/2006/picture">
            <wp:extent cx="5616000" cy="2866161"/>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616000" cy="2866161"/>
                    </a:xfrm>
                    <a:prstGeom prst="rect"/>
                  </pic:spPr>
                </pic:pic>
              </a:graphicData>
            </a:graphic>
          </wp:inline>
        </w:drawing>
      </w:r>
    </w:p>
    <w:p>
      <w:pPr>
        <w:spacing w:after="120" w:line="276" w:lineRule="auto"/>
      </w:pPr>
      <w:r>
        <w:rPr>
          <w:rFonts w:ascii="BIZ UDPゴシック" w:hAnsi="BIZ UDPゴシック" w:eastAsia="BIZ UDPゴシック"/>
          <w:b w:val="0"/>
        </w:rPr>
        <w:t>令和６年度の採用者数は83〜90人、離職者数は65〜67人で、差は＋18人から＋23人です。採用が離職を上回っていますが、介護職員数に対する離職者の割合は18.0〜18.7%であり、毎年２割近くが入れ替わっている計算になります。</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val="0"/>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val="0"/>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val="0"/>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616000" cy="1388279"/>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616000" cy="1388279"/>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val="0"/>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val="0"/>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616000" cy="1388279"/>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val="0"/>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val="0"/>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val="0"/>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val="0"/>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val="0"/>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val="0"/>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616000" cy="2459264"/>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616000" cy="2459264"/>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616000" cy="1388279"/>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val="0"/>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val="0"/>
                <w:sz w:val="18"/>
              </w:rPr>
              <w:t>25.4%</w:t>
            </w:r>
          </w:p>
        </w:tc>
      </w:tr>
      <w:tr>
        <w:trPr>
          <w:cantSplit/>
        </w:trPr>
        <w:tc>
          <w:tcPr>
            <w:tcW w:type="dxa" w:w="2041"/>
          </w:tcPr>
          <w:p>
            <w:pPr>
              <w:keepNext/>
              <w:spacing w:after="20" w:before="20"/>
            </w:pPr>
            <w:r/>
            <w:r>
              <w:rPr>
                <w:rFonts w:ascii="BIZ UDPゴシック" w:hAnsi="BIZ UDPゴシック" w:eastAsia="BIZ UDPゴシック"/>
                <w:b w:val="0"/>
                <w:sz w:val="18"/>
              </w:rPr>
              <w:t>計</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361"/>
          </w:tcPr>
          <w:p>
            <w:pPr>
              <w:keepNext/>
              <w:spacing w:after="20" w:before="20"/>
              <w:jc w:val="right"/>
            </w:pPr>
            <w:r/>
            <w:r>
              <w:rPr>
                <w:rFonts w:ascii="BIZ UDPゴシック" w:hAnsi="BIZ UDPゴシック" w:eastAsia="BIZ UDPゴシック"/>
                <w:b w:val="0"/>
                <w:sz w:val="18"/>
              </w:rPr>
              <w:t>316</w:t>
            </w:r>
          </w:p>
        </w:tc>
        <w:tc>
          <w:tcPr>
            <w:tcW w:type="dxa" w:w="1814"/>
          </w:tcPr>
          <w:p>
            <w:pPr>
              <w:keepNext/>
              <w:spacing w:after="20" w:before="20"/>
              <w:jc w:val="right"/>
            </w:pPr>
            <w:r/>
            <w:r>
              <w:rPr>
                <w:rFonts w:ascii="BIZ UDPゴシック" w:hAnsi="BIZ UDPゴシック" w:eastAsia="BIZ UDPゴシック"/>
                <w:b w:val="0"/>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616000" cy="2060253"/>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616000" cy="2060253"/>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val="0"/>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特養・老健・介護医療院・ショートステイ・グループホーム・特定施設</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val="0"/>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訪問介護・訪問入浴・夜間対応型</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小規模多機能・看護小規模多機能・定期巡回</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通所介護・通所リハ・認知症デイ</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住宅型有料・サ高住（特定施設以外）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合計（n=64）</w:t>
            </w:r>
          </w:p>
        </w:tc>
        <w:tc>
          <w:tcPr>
            <w:tcW w:type="dxa" w:w="1361"/>
          </w:tcPr>
          <w:p>
            <w:pPr>
              <w:keepNext/>
              <w:spacing w:after="20" w:before="20"/>
              <w:jc w:val="right"/>
            </w:pPr>
            <w:r/>
            <w:r>
              <w:rPr>
                <w:rFonts w:ascii="BIZ UDPゴシック" w:hAnsi="BIZ UDPゴシック" w:eastAsia="BIZ UDPゴシック"/>
                <w:b w:val="0"/>
                <w:sz w:val="18"/>
              </w:rPr>
              <w:t>64</w:t>
            </w:r>
          </w:p>
        </w:tc>
        <w:tc>
          <w:tcPr>
            <w:tcW w:type="dxa" w:w="136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616000" cy="2528365"/>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616000" cy="2528365"/>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未経験者の受け入れと育成の体制が重要であることを示して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val="0"/>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val="0"/>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val="0"/>
                <w:sz w:val="18"/>
              </w:rPr>
              <w:t>2.7%</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24643</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訪問介護のサービス提供時間の内訳（24,643分）</w:t>
      </w:r>
    </w:p>
    <w:p>
      <w:pPr>
        <w:keepLines/>
        <w:spacing w:after="160" w:before="0"/>
        <w:jc w:val="center"/>
      </w:pPr>
      <w:r>
        <w:drawing>
          <wp:inline xmlns:a="http://schemas.openxmlformats.org/drawingml/2006/main" xmlns:pic="http://schemas.openxmlformats.org/drawingml/2006/picture">
            <wp:extent cx="5616000" cy="1388279"/>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val="0"/>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val="0"/>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w:t>
      </w:r>
    </w:p>
    <w:p>
      <w:pPr>
        <w:keepLines/>
        <w:spacing w:after="160" w:before="0"/>
        <w:jc w:val="center"/>
      </w:pPr>
      <w:r>
        <w:drawing>
          <wp:inline xmlns:a="http://schemas.openxmlformats.org/drawingml/2006/main" xmlns:pic="http://schemas.openxmlformats.org/drawingml/2006/picture">
            <wp:extent cx="5616000" cy="2866161"/>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616000" cy="2866161"/>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この偏りを踏まえてもなお高いといえますが、年齢調整は行ってい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困りごとがある方のうち「解決できず、困っている」と回答した方は1.8%、回答者全体では0.6%です。この値は在宅生活の継続が困難な層の規模を示す指標となります。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身寄りのない高齢者の入居・入所、保証、死後事務等の支援体制の対象規模を示してい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w:t>
      </w:r>
    </w:p>
    <w:p>
      <w:pPr>
        <w:keepLines/>
        <w:spacing w:after="160" w:before="0"/>
        <w:jc w:val="center"/>
      </w:pPr>
      <w:r>
        <w:drawing>
          <wp:inline xmlns:a="http://schemas.openxmlformats.org/drawingml/2006/main" xmlns:pic="http://schemas.openxmlformats.org/drawingml/2006/picture">
            <wp:extent cx="5616000" cy="2318639"/>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616000" cy="2318639"/>
                    </a:xfrm>
                    <a:prstGeom prst="rect"/>
                  </pic:spPr>
                </pic:pic>
              </a:graphicData>
            </a:graphic>
          </wp:inline>
        </w:drawing>
      </w:r>
    </w:p>
    <w:p>
      <w:pPr>
        <w:pStyle w:val="note"/>
        <w:spacing w:after="80" w:line="276" w:lineRule="auto"/>
      </w:pPr>
      <w:r>
        <w:rPr>
          <w:b w:val="0"/>
        </w:rPr>
        <w:t>出典：北海道保健福祉部の各名簿（令和８年６月30日～７月１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339人（戸）で、指定を受ける居住系（グループホーム・特定施設）の255人を上回ります。居所変更実態調査で把握できたのは４施設・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w:t>
      </w:r>
    </w:p>
    <w:p>
      <w:pPr>
        <w:keepLines/>
        <w:spacing w:after="160" w:before="0"/>
        <w:jc w:val="center"/>
      </w:pPr>
      <w:r>
        <w:drawing>
          <wp:inline xmlns:a="http://schemas.openxmlformats.org/drawingml/2006/main" xmlns:pic="http://schemas.openxmlformats.org/drawingml/2006/picture">
            <wp:extent cx="5616000" cy="2894943"/>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616000" cy="2894943"/>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単位：当該町を通常の事業実施地域とする事業所の数。出典：北海道「介護保険事業所一覧」（令和８年６月30日現在）。訪問介護13事業所のうち３事業所は実施地域欄が空欄です。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val="0"/>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運営法人別の事業所数（上位8法人・実75事業所）</w:t>
      </w:r>
    </w:p>
    <w:p>
      <w:pPr>
        <w:keepLines/>
        <w:spacing w:after="160" w:before="0"/>
        <w:jc w:val="center"/>
      </w:pPr>
      <w:r>
        <w:drawing>
          <wp:inline xmlns:a="http://schemas.openxmlformats.org/drawingml/2006/main" xmlns:pic="http://schemas.openxmlformats.org/drawingml/2006/picture">
            <wp:extent cx="5616000" cy="217994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616000" cy="217994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調査設計によるものではなく、区域内の小規模多機能がすべて１法人であるという供給構造を反映したものと考えられます。</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val="0"/>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val="0"/>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val="0"/>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w:t>
      </w:r>
    </w:p>
    <w:p>
      <w:pPr>
        <w:keepLines/>
        <w:spacing w:after="160" w:before="0"/>
        <w:jc w:val="center"/>
      </w:pPr>
      <w:r>
        <w:drawing>
          <wp:inline xmlns:a="http://schemas.openxmlformats.org/drawingml/2006/main" xmlns:pic="http://schemas.openxmlformats.org/drawingml/2006/picture">
            <wp:extent cx="5616000" cy="2866161"/>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616000" cy="2866161"/>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介護職員の把握手段（348人）</w:t>
      </w:r>
    </w:p>
    <w:p>
      <w:pPr>
        <w:keepLines/>
        <w:spacing w:after="160" w:before="0"/>
        <w:jc w:val="center"/>
      </w:pPr>
      <w:r>
        <w:drawing>
          <wp:inline xmlns:a="http://schemas.openxmlformats.org/drawingml/2006/main" xmlns:pic="http://schemas.openxmlformats.org/drawingml/2006/picture">
            <wp:extent cx="5616000" cy="1388279"/>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616000" cy="1388279"/>
                    </a:xfrm>
                    <a:prstGeom prst="rect"/>
                  </pic:spPr>
                </pic:pic>
              </a:graphicData>
            </a:graphic>
          </wp:inline>
        </w:drawing>
      </w:r>
    </w:p>
    <w:p>
      <w:pPr>
        <w:pStyle w:val="note"/>
        <w:spacing w:after="80" w:line="276" w:lineRule="auto"/>
      </w:pPr>
      <w:r>
        <w:rPr>
          <w:b w:val="0"/>
        </w:rPr>
        <w:t>見える化システムのM2系列は介護サービス施設・事業所調査（各年10月１日現在）による職種別の実人員です。本調査は令和７年４月１日現在であり、半年のずれがあります。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116人（33.3%）は、見える化システムに従事者数の系列がないため、本調査が唯一の把握手段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６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336人</w:t>
            </w:r>
          </w:p>
        </w:tc>
        <w:tc>
          <w:tcPr>
            <w:tcW w:type="dxa" w:w="1814"/>
          </w:tcPr>
          <w:p>
            <w:pPr>
              <w:keepNext/>
              <w:spacing w:after="20" w:before="20"/>
              <w:jc w:val="right"/>
            </w:pPr>
            <w:r/>
            <w:r>
              <w:rPr>
                <w:rFonts w:ascii="BIZ UDPゴシック" w:hAnsi="BIZ UDPゴシック" w:eastAsia="BIZ UDPゴシック"/>
                <w:b w:val="0"/>
                <w:sz w:val="18"/>
              </w:rPr>
              <w:t>339人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val="0"/>
                <w:sz w:val="18"/>
              </w:rPr>
              <w:t>73.4%</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144人</w:t>
            </w:r>
          </w:p>
        </w:tc>
        <w:tc>
          <w:tcPr>
            <w:tcW w:type="dxa" w:w="1814"/>
          </w:tcPr>
          <w:p>
            <w:pPr>
              <w:keepNext/>
              <w:spacing w:after="20" w:before="20"/>
              <w:jc w:val="right"/>
            </w:pPr>
            <w:r/>
            <w:r>
              <w:rPr>
                <w:rFonts w:ascii="BIZ UDPゴシック" w:hAnsi="BIZ UDPゴシック" w:eastAsia="BIZ UDPゴシック"/>
                <w:b w:val="0"/>
                <w:sz w:val="18"/>
              </w:rPr>
              <w:t>145人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val="0"/>
                <w:sz w:val="18"/>
              </w:rPr>
              <w:t>56.9%</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616000" cy="283794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616000" cy="2837946"/>
                    </a:xfrm>
                    <a:prstGeom prst="rect"/>
                  </pic:spPr>
                </pic:pic>
              </a:graphicData>
            </a:graphic>
          </wp:inline>
        </w:drawing>
      </w:r>
    </w:p>
    <w:p>
      <w:pPr>
        <w:pStyle w:val="note"/>
        <w:spacing w:after="80" w:line="276" w:lineRule="auto"/>
      </w:pPr>
      <w:r>
        <w:rPr>
          <w:b w:val="0"/>
        </w:rPr>
        <w:t>見込みは別冊「将来推計 第２段階　サービス見込量」によります。利用率と受給者１人当たりの利用日数・回数を令和７年度の値で固定した基本ケースの値です。</w:t>
      </w:r>
    </w:p>
    <w:p>
      <w:pPr>
        <w:spacing w:after="120" w:line="276" w:lineRule="auto"/>
      </w:pPr>
      <w:r>
        <w:rPr>
          <w:rFonts w:ascii="BIZ UDPゴシック" w:hAnsi="BIZ UDPゴシック" w:eastAsia="BIZ UDPゴシック"/>
          <w:b w:val="0"/>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p>
      <w:pPr>
        <w:keepNext/>
        <w:keepLines/>
        <w:spacing w:before="120" w:after="40"/>
      </w:pPr>
      <w:r>
        <w:rPr>
          <w:rFonts w:ascii="BIZ UDPゴシック" w:hAnsi="BIZ UDPゴシック" w:eastAsia="BIZ UDPゴシック"/>
          <w:b/>
          <w:sz w:val="18"/>
        </w:rPr>
        <w:t>【図表39】　認定者1,984人のサービス利用状況（令和7年度）</w:t>
      </w:r>
    </w:p>
    <w:p>
      <w:pPr>
        <w:keepLines/>
        <w:spacing w:after="160" w:before="0"/>
        <w:jc w:val="center"/>
      </w:pPr>
      <w:r>
        <w:drawing>
          <wp:inline xmlns:a="http://schemas.openxmlformats.org/drawingml/2006/main" xmlns:pic="http://schemas.openxmlformats.org/drawingml/2006/picture">
            <wp:extent cx="5616000" cy="1388279"/>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616000" cy="1388279"/>
                    </a:xfrm>
                    <a:prstGeom prst="rect"/>
                  </pic:spPr>
                </pic:pic>
              </a:graphicData>
            </a:graphic>
          </wp:inline>
        </w:drawing>
      </w:r>
    </w:p>
    <w:p>
      <w:pPr>
        <w:pStyle w:val="note"/>
        <w:spacing w:after="80" w:line="276" w:lineRule="auto"/>
      </w:pPr>
      <w:r>
        <w:rPr>
          <w:b w:val="0"/>
        </w:rPr>
        <w:t>利用者数は月平均、認定者数は令和８年３月末の値であり、区分ごとの人数の合計は認定者数と一致しません。構成比は認定者数1,984人に対する割合です。</w:t>
      </w:r>
    </w:p>
    <w:p>
      <w:pPr>
        <w:spacing w:after="120" w:line="276" w:lineRule="auto"/>
      </w:pPr>
      <w:r>
        <w:rPr>
          <w:rFonts w:ascii="BIZ UDPゴシック" w:hAnsi="BIZ UDPゴシック" w:eastAsia="BIZ UDPゴシック"/>
          <w:b w:val="0"/>
        </w:rPr>
        <w:t>認定を受けている1,984人のうち、在宅サービスの利用者は1,013人（51.2%）、居住系は144人（7.3%）、施設は336人（17.0%）で、いずれも利用していない方が486人（24.5%）です。この486人は、健康とくらしの調査の「介護・介助が必要だが受けていない7.0%」とは母集団が異なるため、合算することも比率を比較することもできません。</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６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調査で得られた件数を需要量として用いるには、次の補正が必要です。本報告書ではこの補正を行っていません。点検事項の取扱いが決まった後に、低位・標準・高位の3シナリオとして別途算定します。</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調査結果と計画項目の対応</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施設・住まいの供給量が確定した</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訪問・通所困難地域の判定に用いる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第3章第5節</w:t>
            </w:r>
          </w:p>
        </w:tc>
      </w:tr>
      <w:tr>
        <w:trPr>
          <w:cantSplit/>
        </w:trPr>
        <w:tc>
          <w:tcPr>
            <w:tcW w:type="dxa" w:w="3628"/>
          </w:tcPr>
          <w:p>
            <w:pPr>
              <w:keepNext/>
              <w:spacing w:after="20" w:before="20"/>
            </w:pPr>
            <w:r/>
            <w:r>
              <w:rPr>
                <w:rFonts w:ascii="BIZ UDPゴシック" w:hAnsi="BIZ UDPゴシック" w:eastAsia="BIZ UDPゴシック"/>
                <w:b w:val="0"/>
                <w:sz w:val="18"/>
              </w:rPr>
              <w:t>特定施設の入居者は軽度者が7割</w:t>
            </w:r>
          </w:p>
        </w:tc>
        <w:tc>
          <w:tcPr>
            <w:tcW w:type="dxa" w:w="3402"/>
          </w:tcPr>
          <w:p>
            <w:pPr>
              <w:keepNext/>
              <w:spacing w:after="20" w:before="20"/>
            </w:pPr>
            <w:r/>
            <w:r>
              <w:rPr>
                <w:rFonts w:ascii="BIZ UDPゴシック" w:hAnsi="BIZ UDPゴシック" w:eastAsia="BIZ UDPゴシック"/>
                <w:b w:val="0"/>
                <w:sz w:val="18"/>
              </w:rPr>
              <w:t>整備の必要量の判断材料とする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把握率58.1%）。とくに区域内最大の特定施設が回答していないため、入所前の居場所と退去先の集計は定員56人分の２施設に基づいています。定員による把握率は、指定を受ける施設・居住系で61.1%で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北海道の名簿は令和８年６月30日から７月１日現在、調査は令和７年４月１日現在、見える化システムは令和６年度の値であり、時点が異なります。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区域内31施設のうち13施設が未回答（把握率58.1%）。とくに区域内最大の特定施設が回答していない。定員・入居者数・職員数は公表データで補えるが、入所前の居場所と退去先は補えない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spacing w:after="20" w:before="20"/>
            </w:pPr>
            <w:r/>
            <w:r>
              <w:rPr>
                <w:rFonts w:ascii="BIZ UDPゴシック" w:hAnsi="BIZ UDPゴシック" w:eastAsia="BIZ UDPゴシック"/>
                <w:b w:val="0"/>
                <w:sz w:val="18"/>
              </w:rPr>
              <w:t>特別養護老人ホームの待機者</w:t>
            </w:r>
          </w:p>
        </w:tc>
        <w:tc>
          <w:tcPr>
            <w:tcW w:type="dxa" w:w="3628"/>
          </w:tcPr>
          <w:p>
            <w:pPr>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spacing w:after="20" w:before="20"/>
            </w:pPr>
            <w:r/>
            <w:r>
              <w:rPr>
                <w:rFonts w:ascii="BIZ UDPゴシック" w:hAnsi="BIZ UDPゴシック" w:eastAsia="BIZ UDPゴシック"/>
                <w:b w:val="0"/>
                <w:sz w:val="18"/>
              </w:rPr>
              <w:t>整備の必要量の判断</w:t>
            </w:r>
          </w:p>
        </w:tc>
        <w:tc>
          <w:tcPr>
            <w:tcW w:type="dxa" w:w="1474"/>
          </w:tcPr>
          <w:p>
            <w:pPr>
              <w:spacing w:after="20" w:before="20"/>
            </w:pPr>
            <w:r/>
            <w:r>
              <w:rPr>
                <w:rFonts w:ascii="BIZ UDPゴシック" w:hAnsi="BIZ UDPゴシック" w:eastAsia="BIZ UDPゴシック"/>
                <w:b w:val="0"/>
                <w:sz w:val="18"/>
              </w:rPr>
              <w:t>範囲で記述</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【あ】</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2246" w:h="15817"/>
      <w:pgMar w:top="1417" w:right="1077" w:bottom="141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