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Ver.2.8</w:t>
      </w:r>
    </w:p>
    <w:p>
      <w:pPr>
        <w:spacing w:after="80" w:before="80"/>
        <w:jc w:val="center"/>
      </w:pPr>
      <w:r>
        <w:rPr>
          <w:rFonts w:ascii="游ゴシック" w:cs="游ゴシック" w:eastAsia="游ゴシック" w:hAnsi="游ゴシック"/>
          <w:b w:val="false"/>
          <w:bCs w:val="false"/>
          <w:i/>
          <w:iCs/>
          <w:sz w:val="18"/>
          <w:szCs w:val="18"/>
        </w:rPr>
        <w:t xml:space="preserve">（第9期対比版）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96</w:t>
            </w:r>
          </w:p>
        </w:tc>
      </w:tr>
    </w:tbl>
    <w:p>
      <w:pPr>
        <w:spacing w:after="80" w:before="80" w:line="280"/>
        <w:ind w:left="288"/>
      </w:pPr>
      <w:r>
        <w:rPr>
          <w:rFonts w:ascii="游ゴシック" w:cs="游ゴシック" w:eastAsia="游ゴシック" w:hAnsi="游ゴシック"/>
          <w:i/>
          <w:iCs/>
          <w:sz w:val="20"/>
          <w:szCs w:val="20"/>
        </w:rPr>
        <w:t xml:space="preserve">⚠ 頁番号は、本素案Ver.2.8の組版によるものです。図表の差替え・加筆により頁の割付けが動いた場合は、目次の頁番号も併せて更新します。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2.8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