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構成3町の高齢者福祉計画に数値目標が設定されておらず、広域連合の代表KPIの検証に参画することを明記していたのは東川町のみでした。第10期では、3町の計画に共通KPIを掲載していただくことを前提として役割分担表を構成しています（資料2）。この点は第1回介護保険事業計画策定委員会での確認事項です。</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同調査は本計画の策定業務の対象調査に含まれていません。家族の就業の状況・意向の把握手段については、第1回委員会で取扱いを確認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608"/>
          </w:tcPr>
          <w:p>
            <w:r/>
            <w:r>
              <w:rPr>
                <w:rFonts w:ascii="游ゴシック" w:hAnsi="游ゴシック" w:eastAsia="游ゴシック"/>
                <w:b/>
                <w:sz w:val="17"/>
              </w:rPr>
              <w:t>圏域</w:t>
            </w:r>
          </w:p>
        </w:tc>
        <w:tc>
          <w:tcPr>
            <w:tcW w:type="dxa" w:w="1474"/>
          </w:tcPr>
          <w:p>
            <w:r/>
            <w:r>
              <w:rPr>
                <w:rFonts w:ascii="游ゴシック" w:hAnsi="游ゴシック" w:eastAsia="游ゴシック"/>
                <w:b/>
                <w:sz w:val="17"/>
              </w:rPr>
              <w:t>人口</w:t>
            </w:r>
          </w:p>
        </w:tc>
        <w:tc>
          <w:tcPr>
            <w:tcW w:type="dxa" w:w="1474"/>
          </w:tcPr>
          <w:p>
            <w:r/>
            <w:r>
              <w:rPr>
                <w:rFonts w:ascii="游ゴシック" w:hAnsi="游ゴシック" w:eastAsia="游ゴシック"/>
                <w:b/>
                <w:sz w:val="17"/>
              </w:rPr>
              <w:t>高齢者人口</w:t>
            </w:r>
          </w:p>
        </w:tc>
        <w:tc>
          <w:tcPr>
            <w:tcW w:type="dxa" w:w="1247"/>
          </w:tcPr>
          <w:p>
            <w:r/>
            <w:r>
              <w:rPr>
                <w:rFonts w:ascii="游ゴシック" w:hAnsi="游ゴシック" w:eastAsia="游ゴシック"/>
                <w:b/>
                <w:sz w:val="17"/>
              </w:rPr>
              <w:t>高齢化率</w:t>
            </w:r>
          </w:p>
        </w:tc>
        <w:tc>
          <w:tcPr>
            <w:tcW w:type="dxa" w:w="3288"/>
          </w:tcPr>
          <w:p>
            <w:r/>
            <w:r>
              <w:rPr>
                <w:rFonts w:ascii="游ゴシック" w:hAnsi="游ゴシック" w:eastAsia="游ゴシック"/>
                <w:b/>
                <w:sz w:val="17"/>
              </w:rPr>
              <w:t>第10期での位置づけ（案）</w:t>
            </w:r>
          </w:p>
        </w:tc>
      </w:tr>
      <w:tr>
        <w:tc>
          <w:tcPr>
            <w:tcW w:type="dxa" w:w="2608"/>
          </w:tcPr>
          <w:p>
            <w:r/>
            <w:r>
              <w:rPr>
                <w:rFonts w:ascii="游ゴシック" w:hAnsi="游ゴシック" w:eastAsia="游ゴシック"/>
                <w:sz w:val="17"/>
              </w:rPr>
              <w:t>東川町</w:t>
            </w:r>
          </w:p>
        </w:tc>
        <w:tc>
          <w:tcPr>
            <w:tcW w:type="dxa" w:w="1474"/>
          </w:tcPr>
          <w:p>
            <w:r/>
            <w:r>
              <w:rPr>
                <w:rFonts w:ascii="游ゴシック" w:hAnsi="游ゴシック" w:eastAsia="游ゴシック"/>
                <w:sz w:val="17"/>
              </w:rPr>
              <w:t>8,558人</w:t>
            </w:r>
          </w:p>
        </w:tc>
        <w:tc>
          <w:tcPr>
            <w:tcW w:type="dxa" w:w="1474"/>
          </w:tcPr>
          <w:p>
            <w:r/>
            <w:r>
              <w:rPr>
                <w:rFonts w:ascii="游ゴシック" w:hAnsi="游ゴシック" w:eastAsia="游ゴシック"/>
                <w:sz w:val="17"/>
              </w:rPr>
              <w:t>2,683人</w:t>
            </w:r>
          </w:p>
        </w:tc>
        <w:tc>
          <w:tcPr>
            <w:tcW w:type="dxa" w:w="1247"/>
          </w:tcPr>
          <w:p>
            <w:r/>
            <w:r>
              <w:rPr>
                <w:rFonts w:ascii="游ゴシック" w:hAnsi="游ゴシック" w:eastAsia="游ゴシック"/>
                <w:sz w:val="17"/>
              </w:rPr>
              <w:t>31.4％</w:t>
            </w:r>
          </w:p>
        </w:tc>
        <w:tc>
          <w:tcPr>
            <w:tcW w:type="dxa" w:w="3288"/>
          </w:tcPr>
          <w:p>
            <w:r/>
            <w:r>
              <w:rPr>
                <w:rFonts w:ascii="游ゴシック" w:hAnsi="游ゴシック" w:eastAsia="游ゴシック"/>
                <w:sz w:val="17"/>
              </w:rPr>
              <w:t>統計・分析単位／基盤整備単位</w:t>
            </w:r>
          </w:p>
        </w:tc>
      </w:tr>
      <w:tr>
        <w:tc>
          <w:tcPr>
            <w:tcW w:type="dxa" w:w="2608"/>
          </w:tcPr>
          <w:p>
            <w:r/>
            <w:r>
              <w:rPr>
                <w:rFonts w:ascii="游ゴシック" w:hAnsi="游ゴシック" w:eastAsia="游ゴシック"/>
                <w:sz w:val="17"/>
              </w:rPr>
              <w:t>美瑛町　市街地・周辺地区</w:t>
            </w:r>
          </w:p>
        </w:tc>
        <w:tc>
          <w:tcPr>
            <w:tcW w:type="dxa" w:w="1474"/>
          </w:tcPr>
          <w:p>
            <w:r/>
            <w:r>
              <w:rPr>
                <w:rFonts w:ascii="游ゴシック" w:hAnsi="游ゴシック" w:eastAsia="游ゴシック"/>
                <w:sz w:val="17"/>
              </w:rPr>
              <w:t>7,869人</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統計・分析単位／基盤整備単位</w:t>
            </w:r>
          </w:p>
        </w:tc>
      </w:tr>
      <w:tr>
        <w:tc>
          <w:tcPr>
            <w:tcW w:type="dxa" w:w="2608"/>
          </w:tcPr>
          <w:p>
            <w:r/>
            <w:r>
              <w:rPr>
                <w:rFonts w:ascii="游ゴシック" w:hAnsi="游ゴシック" w:eastAsia="游ゴシック"/>
                <w:sz w:val="17"/>
              </w:rPr>
              <w:t>美瑛町　美馬牛地区</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美瑛町　旭・北西地区</w:t>
            </w:r>
          </w:p>
        </w:tc>
        <w:tc>
          <w:tcPr>
            <w:tcW w:type="dxa" w:w="1474"/>
          </w:tcPr>
          <w:p>
            <w:r/>
            <w:r>
              <w:rPr>
                <w:rFonts w:ascii="游ゴシック" w:hAnsi="游ゴシック" w:eastAsia="游ゴシック"/>
                <w:sz w:val="17"/>
              </w:rPr>
              <w:t>684人</w:t>
            </w:r>
          </w:p>
        </w:tc>
        <w:tc>
          <w:tcPr>
            <w:tcW w:type="dxa" w:w="1474"/>
          </w:tcPr>
          <w:p>
            <w:r/>
            <w:r>
              <w:rPr>
                <w:rFonts w:ascii="游ゴシック" w:hAnsi="游ゴシック" w:eastAsia="游ゴシック"/>
                <w:sz w:val="17"/>
              </w:rPr>
              <w:t>308人</w:t>
            </w:r>
          </w:p>
        </w:tc>
        <w:tc>
          <w:tcPr>
            <w:tcW w:type="dxa" w:w="1247"/>
          </w:tcPr>
          <w:p>
            <w:r/>
            <w:r>
              <w:rPr>
                <w:rFonts w:ascii="游ゴシック" w:hAnsi="游ゴシック" w:eastAsia="游ゴシック"/>
                <w:sz w:val="17"/>
              </w:rPr>
              <w:t>45.0％</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美瑛町　朗根内地区</w:t>
            </w:r>
          </w:p>
        </w:tc>
        <w:tc>
          <w:tcPr>
            <w:tcW w:type="dxa" w:w="1474"/>
          </w:tcPr>
          <w:p>
            <w:r/>
            <w:r>
              <w:rPr>
                <w:rFonts w:ascii="游ゴシック" w:hAnsi="游ゴシック" w:eastAsia="游ゴシック"/>
                <w:sz w:val="17"/>
              </w:rPr>
              <w:t>233人</w:t>
            </w:r>
          </w:p>
        </w:tc>
        <w:tc>
          <w:tcPr>
            <w:tcW w:type="dxa" w:w="1474"/>
          </w:tcPr>
          <w:p>
            <w:r/>
            <w:r>
              <w:rPr>
                <w:rFonts w:ascii="游ゴシック" w:hAnsi="游ゴシック" w:eastAsia="游ゴシック"/>
                <w:sz w:val="17"/>
              </w:rPr>
              <w:t>82人</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東神楽町</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統計・分析単位／基盤整備単位</w:t>
            </w:r>
          </w:p>
        </w:tc>
      </w:tr>
    </w:tbl>
    <w:p>
      <w:pPr>
        <w:spacing w:before="140" w:after="20"/>
        <w:jc w:val="center"/>
      </w:pPr>
      <w:r>
        <w:drawing>
          <wp:inline xmlns:a="http://schemas.openxmlformats.org/drawingml/2006/main" xmlns:pic="http://schemas.openxmlformats.org/drawingml/2006/picture">
            <wp:extent cx="5472000" cy="2451546"/>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451546"/>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美馬牛地区にはJR富良野線美馬牛駅があります。美瑛町の面積は676.78km²で東神楽町（68.5km²）の約9.9倍であり、同じ町内でも移動距離が大きく異なります。また東川町は大雪山国立公園を含み面積247.3km²であるため、山間部の居住状況の確認も必要です。判定は、3町及び北海道から全事業所の通常の事業の実施地域を収集したうえで確定します。注4）圏域の設定は第1回委員会での決定事項で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読替えの方針は第1回委員会での決定事項です。北海道が管内の広域連合（道内24広域連合）に対して読替えの考え方を示している場合は、それに従います。北海道への照会を予定して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東川町・美瑛町は特別豪雪地帯を有し、美瑛町は過疎地域でもあるため、対象地域である可能性がある。告示の確認を要する。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46951"/>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46951"/>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制度の適用単位について北海道への確認を要します。注2）75歳以上人口は、見える化A3（後期高齢者数）の本広域連合計（令和2年5,167人）を第9期計画の町別高齢化率で按分した推計値です。原典は令和2年国勢調査を用いることとしているため、3町の面積及び同調査ベースの75歳以上人口の確定値により判定を確定し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before="140" w:after="20"/>
        <w:jc w:val="center"/>
      </w:pPr>
      <w:r>
        <w:drawing>
          <wp:inline xmlns:a="http://schemas.openxmlformats.org/drawingml/2006/main" xmlns:pic="http://schemas.openxmlformats.org/drawingml/2006/picture">
            <wp:extent cx="5472000" cy="3233024"/>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3302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2947961"/>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2947961"/>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資料：第9期介護保険事業計画（住民基本台帳　令和5年10月1日現在）</w:t>
      </w:r>
    </w:p>
    <w:p>
      <w:pPr>
        <w:spacing w:after="120"/>
      </w:pPr>
      <w:r>
        <w:rPr>
          <w:rFonts w:ascii="游ゴシック" w:hAnsi="游ゴシック" w:eastAsia="游ゴシック"/>
          <w:b/>
          <w:sz w:val="18"/>
        </w:rPr>
        <w:t>【図3　高齢者を含む世帯の状況】　別冊の図表集「03_高齢者世帯」を参照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274105"/>
            <wp:docPr id="5" name="Picture 5"/>
            <wp:cNvGraphicFramePr>
              <a:graphicFrameLocks noChangeAspect="1"/>
            </wp:cNvGraphicFramePr>
            <a:graphic>
              <a:graphicData uri="http://schemas.openxmlformats.org/drawingml/2006/picture">
                <pic:pic>
                  <pic:nvPicPr>
                    <pic:cNvPr id="0" name="fig13_nenrei.png"/>
                    <pic:cNvPicPr/>
                  </pic:nvPicPr>
                  <pic:blipFill>
                    <a:blip r:embed="rId13"/>
                    <a:stretch>
                      <a:fillRect/>
                    </a:stretch>
                  </pic:blipFill>
                  <pic:spPr>
                    <a:xfrm>
                      <a:off x="0" y="0"/>
                      <a:ext cx="5472000" cy="327410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13950"/>
            <wp:docPr id="6" name="Picture 6"/>
            <wp:cNvGraphicFramePr>
              <a:graphicFrameLocks noChangeAspect="1"/>
            </wp:cNvGraphicFramePr>
            <a:graphic>
              <a:graphicData uri="http://schemas.openxmlformats.org/drawingml/2006/picture">
                <pic:pic>
                  <pic:nvPicPr>
                    <pic:cNvPr id="0" name="fig06_1_ninteiritsu.png"/>
                    <pic:cNvPicPr/>
                  </pic:nvPicPr>
                  <pic:blipFill>
                    <a:blip r:embed="rId14"/>
                    <a:stretch>
                      <a:fillRect/>
                    </a:stretch>
                  </pic:blipFill>
                  <pic:spPr>
                    <a:xfrm>
                      <a:off x="0" y="0"/>
                      <a:ext cx="5472000" cy="371395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376755"/>
            <wp:docPr id="7" name="Picture 7"/>
            <wp:cNvGraphicFramePr>
              <a:graphicFrameLocks noChangeAspect="1"/>
            </wp:cNvGraphicFramePr>
            <a:graphic>
              <a:graphicData uri="http://schemas.openxmlformats.org/drawingml/2006/picture">
                <pic:pic>
                  <pic:nvPicPr>
                    <pic:cNvPr id="0" name="fig06_2_chosei.png"/>
                    <pic:cNvPicPr/>
                  </pic:nvPicPr>
                  <pic:blipFill>
                    <a:blip r:embed="rId15"/>
                    <a:stretch>
                      <a:fillRect/>
                    </a:stretch>
                  </pic:blipFill>
                  <pic:spPr>
                    <a:xfrm>
                      <a:off x="0" y="0"/>
                      <a:ext cx="5472000" cy="337675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249161"/>
            <wp:docPr id="8" name="Picture 8"/>
            <wp:cNvGraphicFramePr>
              <a:graphicFrameLocks noChangeAspect="1"/>
            </wp:cNvGraphicFramePr>
            <a:graphic>
              <a:graphicData uri="http://schemas.openxmlformats.org/drawingml/2006/picture">
                <pic:pic>
                  <pic:nvPicPr>
                    <pic:cNvPr id="0" name="fig07_kyufuhi.png"/>
                    <pic:cNvPicPr/>
                  </pic:nvPicPr>
                  <pic:blipFill>
                    <a:blip r:embed="rId16"/>
                    <a:stretch>
                      <a:fillRect/>
                    </a:stretch>
                  </pic:blipFill>
                  <pic:spPr>
                    <a:xfrm>
                      <a:off x="0" y="0"/>
                      <a:ext cx="5472000" cy="3249161"/>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と併せて第6章第6節で確認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2996458"/>
            <wp:docPr id="9" name="Picture 9"/>
            <wp:cNvGraphicFramePr>
              <a:graphicFrameLocks noChangeAspect="1"/>
            </wp:cNvGraphicFramePr>
            <a:graphic>
              <a:graphicData uri="http://schemas.openxmlformats.org/drawingml/2006/picture">
                <pic:pic>
                  <pic:nvPicPr>
                    <pic:cNvPr id="0" name="fig18_kyufu.png"/>
                    <pic:cNvPicPr/>
                  </pic:nvPicPr>
                  <pic:blipFill>
                    <a:blip r:embed="rId17"/>
                    <a:stretch>
                      <a:fillRect/>
                    </a:stretch>
                  </pic:blipFill>
                  <pic:spPr>
                    <a:xfrm>
                      <a:off x="0" y="0"/>
                      <a:ext cx="5472000" cy="299645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376755"/>
            <wp:docPr id="10" name="Picture 10"/>
            <wp:cNvGraphicFramePr>
              <a:graphicFrameLocks noChangeAspect="1"/>
            </wp:cNvGraphicFramePr>
            <a:graphic>
              <a:graphicData uri="http://schemas.openxmlformats.org/drawingml/2006/picture">
                <pic:pic>
                  <pic:nvPicPr>
                    <pic:cNvPr id="0" name="fig20_jukyuritsu.png"/>
                    <pic:cNvPicPr/>
                  </pic:nvPicPr>
                  <pic:blipFill>
                    <a:blip r:embed="rId18"/>
                    <a:stretch>
                      <a:fillRect/>
                    </a:stretch>
                  </pic:blipFill>
                  <pic:spPr>
                    <a:xfrm>
                      <a:off x="0" y="0"/>
                      <a:ext cx="5472000" cy="337675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12229"/>
            <wp:docPr id="11" name="Picture 11"/>
            <wp:cNvGraphicFramePr>
              <a:graphicFrameLocks noChangeAspect="1"/>
            </wp:cNvGraphicFramePr>
            <a:graphic>
              <a:graphicData uri="http://schemas.openxmlformats.org/drawingml/2006/picture">
                <pic:pic>
                  <pic:nvPicPr>
                    <pic:cNvPr id="0" name="fig21_service.png"/>
                    <pic:cNvPicPr/>
                  </pic:nvPicPr>
                  <pic:blipFill>
                    <a:blip r:embed="rId19"/>
                    <a:stretch>
                      <a:fillRect/>
                    </a:stretch>
                  </pic:blipFill>
                  <pic:spPr>
                    <a:xfrm>
                      <a:off x="0" y="0"/>
                      <a:ext cx="5472000" cy="231222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376755"/>
            <wp:docPr id="12" name="Picture 12"/>
            <wp:cNvGraphicFramePr>
              <a:graphicFrameLocks noChangeAspect="1"/>
            </wp:cNvGraphicFramePr>
            <a:graphic>
              <a:graphicData uri="http://schemas.openxmlformats.org/drawingml/2006/picture">
                <pic:pic>
                  <pic:nvPicPr>
                    <pic:cNvPr id="0" name="fig14_riyokyodo.png"/>
                    <pic:cNvPicPr/>
                  </pic:nvPicPr>
                  <pic:blipFill>
                    <a:blip r:embed="rId20"/>
                    <a:stretch>
                      <a:fillRect/>
                    </a:stretch>
                  </pic:blipFill>
                  <pic:spPr>
                    <a:xfrm>
                      <a:off x="0" y="0"/>
                      <a:ext cx="5472000" cy="337675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156131"/>
            <wp:docPr id="13" name="Picture 13"/>
            <wp:cNvGraphicFramePr>
              <a:graphicFrameLocks noChangeAspect="1"/>
            </wp:cNvGraphicFramePr>
            <a:graphic>
              <a:graphicData uri="http://schemas.openxmlformats.org/drawingml/2006/picture">
                <pic:pic>
                  <pic:nvPicPr>
                    <pic:cNvPr id="0" name="fig17_riyoritsu.png"/>
                    <pic:cNvPicPr/>
                  </pic:nvPicPr>
                  <pic:blipFill>
                    <a:blip r:embed="rId21"/>
                    <a:stretch>
                      <a:fillRect/>
                    </a:stretch>
                  </pic:blipFill>
                  <pic:spPr>
                    <a:xfrm>
                      <a:off x="0" y="0"/>
                      <a:ext cx="5472000" cy="41561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767897"/>
            <wp:docPr id="14" name="Picture 14"/>
            <wp:cNvGraphicFramePr>
              <a:graphicFrameLocks noChangeAspect="1"/>
            </wp:cNvGraphicFramePr>
            <a:graphic>
              <a:graphicData uri="http://schemas.openxmlformats.org/drawingml/2006/picture">
                <pic:pic>
                  <pic:nvPicPr>
                    <pic:cNvPr id="0" name="fig17_2_mishiyo.png"/>
                    <pic:cNvPicPr/>
                  </pic:nvPicPr>
                  <pic:blipFill>
                    <a:blip r:embed="rId22"/>
                    <a:stretch>
                      <a:fillRect/>
                    </a:stretch>
                  </pic:blipFill>
                  <pic:spPr>
                    <a:xfrm>
                      <a:off x="0" y="0"/>
                      <a:ext cx="5472000" cy="376789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50890"/>
            <wp:docPr id="15" name="Picture 15"/>
            <wp:cNvGraphicFramePr>
              <a:graphicFrameLocks noChangeAspect="1"/>
            </wp:cNvGraphicFramePr>
            <a:graphic>
              <a:graphicData uri="http://schemas.openxmlformats.org/drawingml/2006/picture">
                <pic:pic>
                  <pic:nvPicPr>
                    <pic:cNvPr id="0" name="fig22_kenoiki.png"/>
                    <pic:cNvPicPr/>
                  </pic:nvPicPr>
                  <pic:blipFill>
                    <a:blip r:embed="rId23"/>
                    <a:stretch>
                      <a:fillRect/>
                    </a:stretch>
                  </pic:blipFill>
                  <pic:spPr>
                    <a:xfrm>
                      <a:off x="0" y="0"/>
                      <a:ext cx="5472000" cy="38508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10158"/>
            <wp:docPr id="16" name="Picture 16"/>
            <wp:cNvGraphicFramePr>
              <a:graphicFrameLocks noChangeAspect="1"/>
            </wp:cNvGraphicFramePr>
            <a:graphic>
              <a:graphicData uri="http://schemas.openxmlformats.org/drawingml/2006/picture">
                <pic:pic>
                  <pic:nvPicPr>
                    <pic:cNvPr id="0" name="fig24_2_zero.png"/>
                    <pic:cNvPicPr/>
                  </pic:nvPicPr>
                  <pic:blipFill>
                    <a:blip r:embed="rId24"/>
                    <a:stretch>
                      <a:fillRect/>
                    </a:stretch>
                  </pic:blipFill>
                  <pic:spPr>
                    <a:xfrm>
                      <a:off x="0" y="0"/>
                      <a:ext cx="5472000" cy="341015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664242"/>
            <wp:docPr id="17" name="Picture 17"/>
            <wp:cNvGraphicFramePr>
              <a:graphicFrameLocks noChangeAspect="1"/>
            </wp:cNvGraphicFramePr>
            <a:graphic>
              <a:graphicData uri="http://schemas.openxmlformats.org/drawingml/2006/picture">
                <pic:pic>
                  <pic:nvPicPr>
                    <pic:cNvPr id="0" name="fig24_1_jigyosho.png"/>
                    <pic:cNvPicPr/>
                  </pic:nvPicPr>
                  <pic:blipFill>
                    <a:blip r:embed="rId25"/>
                    <a:stretch>
                      <a:fillRect/>
                    </a:stretch>
                  </pic:blipFill>
                  <pic:spPr>
                    <a:xfrm>
                      <a:off x="0" y="0"/>
                      <a:ext cx="5472000" cy="3664242"/>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七が求める「稼働率」の把握が必要となる典型例です。4事業所の定員・登録者数・延べ利用者数の確認を要します。</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125064"/>
            <wp:docPr id="18" name="Picture 18"/>
            <wp:cNvGraphicFramePr>
              <a:graphicFrameLocks noChangeAspect="1"/>
            </wp:cNvGraphicFramePr>
            <a:graphic>
              <a:graphicData uri="http://schemas.openxmlformats.org/drawingml/2006/picture">
                <pic:pic>
                  <pic:nvPicPr>
                    <pic:cNvPr id="0" name="fig24_3_hikaku.png"/>
                    <pic:cNvPicPr/>
                  </pic:nvPicPr>
                  <pic:blipFill>
                    <a:blip r:embed="rId26"/>
                    <a:stretch>
                      <a:fillRect/>
                    </a:stretch>
                  </pic:blipFill>
                  <pic:spPr>
                    <a:xfrm>
                      <a:off x="0" y="0"/>
                      <a:ext cx="5472000" cy="312506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454984"/>
            <wp:docPr id="19" name="Picture 19"/>
            <wp:cNvGraphicFramePr>
              <a:graphicFrameLocks noChangeAspect="1"/>
            </wp:cNvGraphicFramePr>
            <a:graphic>
              <a:graphicData uri="http://schemas.openxmlformats.org/drawingml/2006/picture">
                <pic:pic>
                  <pic:nvPicPr>
                    <pic:cNvPr id="0" name="fig25_1_jujisha.png"/>
                    <pic:cNvPicPr/>
                  </pic:nvPicPr>
                  <pic:blipFill>
                    <a:blip r:embed="rId27"/>
                    <a:stretch>
                      <a:fillRect/>
                    </a:stretch>
                  </pic:blipFill>
                  <pic:spPr>
                    <a:xfrm>
                      <a:off x="0" y="0"/>
                      <a:ext cx="5472000" cy="345498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488826"/>
            <wp:docPr id="20" name="Picture 20"/>
            <wp:cNvGraphicFramePr>
              <a:graphicFrameLocks noChangeAspect="1"/>
            </wp:cNvGraphicFramePr>
            <a:graphic>
              <a:graphicData uri="http://schemas.openxmlformats.org/drawingml/2006/picture">
                <pic:pic>
                  <pic:nvPicPr>
                    <pic:cNvPr id="0" name="fig25_3_shokushu.png"/>
                    <pic:cNvPicPr/>
                  </pic:nvPicPr>
                  <pic:blipFill>
                    <a:blip r:embed="rId28"/>
                    <a:stretch>
                      <a:fillRect/>
                    </a:stretch>
                  </pic:blipFill>
                  <pic:spPr>
                    <a:xfrm>
                      <a:off x="0" y="0"/>
                      <a:ext cx="5472000" cy="34888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36824"/>
            <wp:docPr id="21" name="Picture 21"/>
            <wp:cNvGraphicFramePr>
              <a:graphicFrameLocks noChangeAspect="1"/>
            </wp:cNvGraphicFramePr>
            <a:graphic>
              <a:graphicData uri="http://schemas.openxmlformats.org/drawingml/2006/picture">
                <pic:pic>
                  <pic:nvPicPr>
                    <pic:cNvPr id="0" name="fig08_needs.png"/>
                    <pic:cNvPicPr/>
                  </pic:nvPicPr>
                  <pic:blipFill>
                    <a:blip r:embed="rId29"/>
                    <a:stretch>
                      <a:fillRect/>
                    </a:stretch>
                  </pic:blipFill>
                  <pic:spPr>
                    <a:xfrm>
                      <a:off x="0" y="0"/>
                      <a:ext cx="5472000" cy="3836824"/>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01961"/>
            <wp:docPr id="22" name="Picture 22"/>
            <wp:cNvGraphicFramePr>
              <a:graphicFrameLocks noChangeAspect="1"/>
            </wp:cNvGraphicFramePr>
            <a:graphic>
              <a:graphicData uri="http://schemas.openxmlformats.org/drawingml/2006/picture">
                <pic:pic>
                  <pic:nvPicPr>
                    <pic:cNvPr id="0" name="fig08_2_machibetsu.png"/>
                    <pic:cNvPicPr/>
                  </pic:nvPicPr>
                  <pic:blipFill>
                    <a:blip r:embed="rId30"/>
                    <a:stretch>
                      <a:fillRect/>
                    </a:stretch>
                  </pic:blipFill>
                  <pic:spPr>
                    <a:xfrm>
                      <a:off x="0" y="0"/>
                      <a:ext cx="5472000" cy="3301961"/>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【重度者の在宅化】</w:t>
      </w:r>
    </w:p>
    <w:p>
      <w:pPr>
        <w:spacing w:after="80"/>
      </w:pPr>
      <w:r>
        <w:rPr>
          <w:rFonts w:ascii="游ゴシック" w:hAnsi="游ゴシック" w:eastAsia="游ゴシック"/>
          <w:b w:val="0"/>
          <w:sz w:val="20"/>
        </w:rPr>
        <w:t>要介護度別に在宅・居住系の割合をみると、重度者ほど在宅化が進んでいます。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事業所実態調査は本計画の策定業務の対象調査に含まれていません。このため、H12（必要サービス未充足率）及びH16（災害・感染症時の必須サービス継続率）のデータ源については、代理指標への振替えを含めて第1回委員会で確認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給付水準の高さは認定率ではなく、施設・居住系の受給率と訪問介護の利用強度に由来します。</w:t>
      </w:r>
    </w:p>
    <w:p>
      <w:pPr>
        <w:pStyle w:val="ListBullet"/>
        <w:spacing w:after="40"/>
      </w:pPr>
      <w:r>
        <w:rPr>
          <w:rFonts w:ascii="游ゴシック" w:hAnsi="游ゴシック" w:eastAsia="游ゴシック"/>
          <w:sz w:val="20"/>
        </w:rPr>
        <w:t>重度者の在宅化と施設・居住系の定員縮小が同時に進んでいます。一方で24時間対応サービスは区域内に存在しません。</w:t>
      </w:r>
    </w:p>
    <w:p>
      <w:pPr>
        <w:pStyle w:val="ListBullet"/>
        <w:spacing w:after="40"/>
      </w:pPr>
      <w:r>
        <w:rPr>
          <w:rFonts w:ascii="游ゴシック" w:hAnsi="游ゴシック" w:eastAsia="游ゴシック"/>
          <w:sz w:val="20"/>
        </w:rPr>
        <w:t>認定者の25.7％（504人）がサービスを利用していません。需要の減少か供給の制約かの判別が第10期の中心論点です。</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41185"/>
            <wp:docPr id="23" name="Picture 23"/>
            <wp:cNvGraphicFramePr>
              <a:graphicFrameLocks noChangeAspect="1"/>
            </wp:cNvGraphicFramePr>
            <a:graphic>
              <a:graphicData uri="http://schemas.openxmlformats.org/drawingml/2006/picture">
                <pic:pic>
                  <pic:nvPicPr>
                    <pic:cNvPr id="0" name="fig15_machibetsu.png"/>
                    <pic:cNvPicPr/>
                  </pic:nvPicPr>
                  <pic:blipFill>
                    <a:blip r:embed="rId31"/>
                    <a:stretch>
                      <a:fillRect/>
                    </a:stretch>
                  </pic:blipFill>
                  <pic:spPr>
                    <a:xfrm>
                      <a:off x="0" y="0"/>
                      <a:ext cx="5472000" cy="324118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097263"/>
            <wp:docPr id="24" name="Picture 24"/>
            <wp:cNvGraphicFramePr>
              <a:graphicFrameLocks noChangeAspect="1"/>
            </wp:cNvGraphicFramePr>
            <a:graphic>
              <a:graphicData uri="http://schemas.openxmlformats.org/drawingml/2006/picture">
                <pic:pic>
                  <pic:nvPicPr>
                    <pic:cNvPr id="0" name="fig16_ninaite.png"/>
                    <pic:cNvPicPr/>
                  </pic:nvPicPr>
                  <pic:blipFill>
                    <a:blip r:embed="rId32"/>
                    <a:stretch>
                      <a:fillRect/>
                    </a:stretch>
                  </pic:blipFill>
                  <pic:spPr>
                    <a:xfrm>
                      <a:off x="0" y="0"/>
                      <a:ext cx="5472000" cy="309726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292220"/>
            <wp:docPr id="25" name="Picture 25"/>
            <wp:cNvGraphicFramePr>
              <a:graphicFrameLocks noChangeAspect="1"/>
            </wp:cNvGraphicFramePr>
            <a:graphic>
              <a:graphicData uri="http://schemas.openxmlformats.org/drawingml/2006/picture">
                <pic:pic>
                  <pic:nvPicPr>
                    <pic:cNvPr id="0" name="fig19_kpi.png"/>
                    <pic:cNvPicPr/>
                  </pic:nvPicPr>
                  <pic:blipFill>
                    <a:blip r:embed="rId33"/>
                    <a:stretch>
                      <a:fillRect/>
                    </a:stretch>
                  </pic:blipFill>
                  <pic:spPr>
                    <a:xfrm>
                      <a:off x="0" y="0"/>
                      <a:ext cx="5472000" cy="3292220"/>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377006"/>
            <wp:docPr id="26" name="Picture 26"/>
            <wp:cNvGraphicFramePr>
              <a:graphicFrameLocks noChangeAspect="1"/>
            </wp:cNvGraphicFramePr>
            <a:graphic>
              <a:graphicData uri="http://schemas.openxmlformats.org/drawingml/2006/picture">
                <pic:pic>
                  <pic:nvPicPr>
                    <pic:cNvPr id="0" name="fig23_kayoinoba.png"/>
                    <pic:cNvPicPr/>
                  </pic:nvPicPr>
                  <pic:blipFill>
                    <a:blip r:embed="rId34"/>
                    <a:stretch>
                      <a:fillRect/>
                    </a:stretch>
                  </pic:blipFill>
                  <pic:spPr>
                    <a:xfrm>
                      <a:off x="0" y="0"/>
                      <a:ext cx="5472000" cy="33770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829964"/>
            <wp:docPr id="27" name="Picture 27"/>
            <wp:cNvGraphicFramePr>
              <a:graphicFrameLocks noChangeAspect="1"/>
            </wp:cNvGraphicFramePr>
            <a:graphic>
              <a:graphicData uri="http://schemas.openxmlformats.org/drawingml/2006/picture">
                <pic:pic>
                  <pic:nvPicPr>
                    <pic:cNvPr id="0" name="fig23_2_kasho.png"/>
                    <pic:cNvPicPr/>
                  </pic:nvPicPr>
                  <pic:blipFill>
                    <a:blip r:embed="rId35"/>
                    <a:stretch>
                      <a:fillRect/>
                    </a:stretch>
                  </pic:blipFill>
                  <pic:spPr>
                    <a:xfrm>
                      <a:off x="0" y="0"/>
                      <a:ext cx="5472000" cy="2829964"/>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未受領のため、施策単位の達成・未達の成果評価は実績受領後に同一定義で再判定し、委員会へ提示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59509"/>
            <wp:docPr id="28" name="Picture 28"/>
            <wp:cNvGraphicFramePr>
              <a:graphicFrameLocks noChangeAspect="1"/>
            </wp:cNvGraphicFramePr>
            <a:graphic>
              <a:graphicData uri="http://schemas.openxmlformats.org/drawingml/2006/picture">
                <pic:pic>
                  <pic:nvPicPr>
                    <pic:cNvPr id="0" name="fig26_1_kofukin.png"/>
                    <pic:cNvPicPr/>
                  </pic:nvPicPr>
                  <pic:blipFill>
                    <a:blip r:embed="rId36"/>
                    <a:stretch>
                      <a:fillRect/>
                    </a:stretch>
                  </pic:blipFill>
                  <pic:spPr>
                    <a:xfrm>
                      <a:off x="0" y="0"/>
                      <a:ext cx="5472000" cy="355950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59387"/>
            <wp:docPr id="29" name="Picture 29"/>
            <wp:cNvGraphicFramePr>
              <a:graphicFrameLocks noChangeAspect="1"/>
            </wp:cNvGraphicFramePr>
            <a:graphic>
              <a:graphicData uri="http://schemas.openxmlformats.org/drawingml/2006/picture">
                <pic:pic>
                  <pic:nvPicPr>
                    <pic:cNvPr id="0" name="fig26_2_shihyogun.png"/>
                    <pic:cNvPicPr/>
                  </pic:nvPicPr>
                  <pic:blipFill>
                    <a:blip r:embed="rId37"/>
                    <a:stretch>
                      <a:fillRect/>
                    </a:stretch>
                  </pic:blipFill>
                  <pic:spPr>
                    <a:xfrm>
                      <a:off x="0" y="0"/>
                      <a:ext cx="5472000" cy="325938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332014"/>
            <wp:docPr id="30" name="Picture 30"/>
            <wp:cNvGraphicFramePr>
              <a:graphicFrameLocks noChangeAspect="1"/>
            </wp:cNvGraphicFramePr>
            <a:graphic>
              <a:graphicData uri="http://schemas.openxmlformats.org/drawingml/2006/picture">
                <pic:pic>
                  <pic:nvPicPr>
                    <pic:cNvPr id="0" name="fig26_3_mokuhyo.png"/>
                    <pic:cNvPicPr/>
                  </pic:nvPicPr>
                  <pic:blipFill>
                    <a:blip r:embed="rId38"/>
                    <a:stretch>
                      <a:fillRect/>
                    </a:stretch>
                  </pic:blipFill>
                  <pic:spPr>
                    <a:xfrm>
                      <a:off x="0" y="0"/>
                      <a:ext cx="5472000" cy="2332014"/>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受領したのは総合得点・目標別・指標群別と目標Ⅰ～Ⅳの内訳です。0点となっている項目については、取組自体を行っていないのか、取組はあるが要件を満たさないのかを、評価調書と突合して確認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672389"/>
            <wp:docPr id="31" name="Picture 31"/>
            <wp:cNvGraphicFramePr>
              <a:graphicFrameLocks noChangeAspect="1"/>
            </wp:cNvGraphicFramePr>
            <a:graphic>
              <a:graphicData uri="http://schemas.openxmlformats.org/drawingml/2006/picture">
                <pic:pic>
                  <pic:nvPicPr>
                    <pic:cNvPr id="0" name="fig30_kpi_source.png"/>
                    <pic:cNvPicPr/>
                  </pic:nvPicPr>
                  <pic:blipFill>
                    <a:blip r:embed="rId39"/>
                    <a:stretch>
                      <a:fillRect/>
                    </a:stretch>
                  </pic:blipFill>
                  <pic:spPr>
                    <a:xfrm>
                      <a:off x="0" y="0"/>
                      <a:ext cx="5472000" cy="1672389"/>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を確認して設定します。認定率や利用率は一律に低下を目標とせず、適正水準と要因を評価します。［要協議］としている目標値は、第1回委員会での決定事項で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第6章第4節と一体。第1回委員会の決定事項</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第1回委員会の決定事項</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第1回委員会の決定事項）。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本項は第1回介護保険事業計画策定委員会の決定事項です。決定に当たっては、①要介護4・5の在宅生活者の夜間・深夜のニーズの把握、②事業者の参入意向、③旭川市の事業所の受入可能性、④特定地域居宅サービス等事業の適用可否、の4点を確認し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37654"/>
            <wp:docPr id="32" name="Picture 32"/>
            <wp:cNvGraphicFramePr>
              <a:graphicFrameLocks noChangeAspect="1"/>
            </wp:cNvGraphicFramePr>
            <a:graphic>
              <a:graphicData uri="http://schemas.openxmlformats.org/drawingml/2006/picture">
                <pic:pic>
                  <pic:nvPicPr>
                    <pic:cNvPr id="0" name="fig29_1_hokenryo.png"/>
                    <pic:cNvPicPr/>
                  </pic:nvPicPr>
                  <pic:blipFill>
                    <a:blip r:embed="rId40"/>
                    <a:stretch>
                      <a:fillRect/>
                    </a:stretch>
                  </pic:blipFill>
                  <pic:spPr>
                    <a:xfrm>
                      <a:off x="0" y="0"/>
                      <a:ext cx="5472000" cy="403765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5,900円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注）必要保険料月額は、当該年度の保険給付費及び地域支援事業費から逆算した概算値です。剰余の額は基金残高の推移と併せて確認します。基金残高及び取崩実績の資料が必要です。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63386"/>
            <wp:docPr id="33" name="Picture 33"/>
            <wp:cNvGraphicFramePr>
              <a:graphicFrameLocks noChangeAspect="1"/>
            </wp:cNvGraphicFramePr>
            <a:graphic>
              <a:graphicData uri="http://schemas.openxmlformats.org/drawingml/2006/picture">
                <pic:pic>
                  <pic:nvPicPr>
                    <pic:cNvPr id="0" name="fig29_2_kannai.png"/>
                    <pic:cNvPicPr/>
                  </pic:nvPicPr>
                  <pic:blipFill>
                    <a:blip r:embed="rId41"/>
                    <a:stretch>
                      <a:fillRect/>
                    </a:stretch>
                  </pic:blipFill>
                  <pic:spPr>
                    <a:xfrm>
                      <a:off x="0" y="0"/>
                      <a:ext cx="5472000" cy="3863386"/>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データ源が未確保のH07・H08・H12・H16の4項目は、業務範囲の決定又は代理指標への振替が必要です。第1回委員会での確認事項で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構成3町の高齢者福祉計画に数値目標が1件も設定されておらず、広域連合の代表KPIの検証への参画を明記していたのは東川町のみでした。第10期では、3町の計画に共通KPIを掲載していただくことが本表の実効性の前提となります。第1回委員会での確認事項で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国が把握方法として明示する在宅介護実態調査が業務範囲外。家族の就業の状況・意向の把握手段の確保が必要（第1回委員会の確認事項）</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介護サービス見込量（在宅介護実態調査が業務範囲外）</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