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142件（条件付き59件・送付52件・内部保管26件・対象外5件）と計画素案（1062段落156表36図）です。ビルドスクリプトは139本あり、うち50本が自らの計算を検算する自己点検を備えています（計1031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自己点検を備えたスクリプト（50本・計1031件）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96件</w:t>
            </w:r>
          </w:p>
        </w:tc>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48件</w:t>
            </w:r>
          </w:p>
        </w:tc>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build_receipt_kyufuhi_bunkakai.py</w:t>
            </w:r>
          </w:p>
        </w:tc>
        <w:tc>
          <w:tcPr>
            <w:tcW w:type="dxa" w:w="907"/>
            <w:vAlign w:val="center"/>
          </w:tcPr>
          <w:p>
            <w:pPr>
              <w:spacing w:after="0"/>
              <w:jc w:val="center"/>
            </w:pPr>
            <w:r>
              <w:rPr>
                <w:rFonts w:ascii="游ゴシック" w:hAnsi="游ゴシック" w:eastAsia="游ゴシック"/>
                <w:b w:val="0"/>
                <w:sz w:val="16"/>
              </w:rPr>
              <w:t>16件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build_receipt_jorei.py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build_gaiyo_doc.py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build_receipt_bunkakai_gentyo.py</w:t>
            </w:r>
          </w:p>
        </w:tc>
        <w:tc>
          <w:tcPr>
            <w:tcW w:type="dxa" w:w="907"/>
            <w:shd w:val="clear" w:color="auto" w:fill="F2F5FA"/>
            <w:vAlign w:val="center"/>
          </w:tcPr>
          <w:p>
            <w:pPr>
              <w:spacing w:after="0"/>
              <w:jc w:val="center"/>
            </w:pPr>
            <w:r>
              <w:rPr>
                <w:rFonts w:ascii="游ゴシック" w:hAnsi="游ゴシック" w:eastAsia="游ゴシック"/>
                <w:b w:val="0"/>
                <w:sz w:val="16"/>
              </w:rPr>
              <w:t>32件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build_shiryo_chokyu.py</w:t>
            </w:r>
          </w:p>
        </w:tc>
        <w:tc>
          <w:tcPr>
            <w:tcW w:type="dxa" w:w="907"/>
            <w:vAlign w:val="center"/>
          </w:tcPr>
          <w:p>
            <w:pPr>
              <w:spacing w:after="0"/>
              <w:jc w:val="center"/>
            </w:pPr>
            <w:r>
              <w:rPr>
                <w:rFonts w:ascii="游ゴシック" w:hAnsi="游ゴシック" w:eastAsia="游ゴシック"/>
                <w:b w:val="0"/>
                <w:sz w:val="16"/>
              </w:rPr>
              <w:t>32件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build_receipt_yoko.py</w:t>
            </w:r>
          </w:p>
        </w:tc>
        <w:tc>
          <w:tcPr>
            <w:tcW w:type="dxa" w:w="907"/>
            <w:shd w:val="clear" w:color="auto" w:fill="F2F5FA"/>
            <w:vAlign w:val="center"/>
          </w:tcPr>
          <w:p>
            <w:pPr>
              <w:spacing w:after="0"/>
              <w:jc w:val="center"/>
            </w:pPr>
            <w:r>
              <w:rPr>
                <w:rFonts w:ascii="游ゴシック" w:hAnsi="游ゴシック" w:eastAsia="游ゴシック"/>
                <w:b w:val="0"/>
                <w:sz w:val="16"/>
              </w:rPr>
              <w:t>30件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build_shokai_kaito.py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build_receipt_sansho.py</w:t>
            </w:r>
          </w:p>
        </w:tc>
        <w:tc>
          <w:tcPr>
            <w:tcW w:type="dxa" w:w="907"/>
            <w:vAlign w:val="center"/>
          </w:tcPr>
          <w:p>
            <w:pPr>
              <w:spacing w:after="0"/>
              <w:jc w:val="center"/>
            </w:pPr>
            <w:r>
              <w:rPr>
                <w:rFonts w:ascii="游ゴシック" w:hAnsi="游ゴシック" w:eastAsia="游ゴシック"/>
                <w:b w:val="0"/>
                <w:sz w:val="16"/>
              </w:rPr>
              <w:t>24件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build_cohort_review.py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1062段落156表36図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発注者・委員会・住民の目に触れるもの。未確定箇所が275箇所（要協議158・要確認115・要内訳2）残っている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確認事項189件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現在275箇所（要協議158・要確認115・要内訳2）です。うち第6章第4節（施設の見込み）に58箇所（43％）が集中しており、日常生活圏域と必要利用定員総数（確認事項No.88）が決まれば解消します。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自己点検を備えた50本を順に実行し、終了コードが0であることを確かめます。1件でも合わなければ終了コード1で終わり、不適合の内容が表示されます。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再実行できない3本（第2節3）は除いています。自己点検を持たないスクリプトも実行されますが、書き出しに失敗すればやはり0以外で終わります。自己点検を備えた50本は第3節1の表のとおりです。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