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協議用素案（令和8年9月時点）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令和8（2026）年9月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【2040年を見据えた地域類型の考え方】</w:t>
      </w:r>
    </w:p>
    <w:p>
      <w:pPr>
        <w:spacing w:after="80"/>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【医療と介護の協議の場の再編成】</w:t>
      </w:r>
    </w:p>
    <w:p>
      <w:pPr>
        <w:spacing w:after="80"/>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73"/>
          </w:tcPr>
          <w:p>
            <w:r/>
            <w:r>
              <w:rPr>
                <w:rFonts w:ascii="游ゴシック" w:hAnsi="游ゴシック" w:eastAsia="游ゴシック"/>
                <w:b/>
                <w:sz w:val="17"/>
              </w:rPr>
              <w:t>事項</w:t>
            </w:r>
          </w:p>
        </w:tc>
        <w:tc>
          <w:tcPr>
            <w:tcW w:type="dxa" w:w="3546"/>
          </w:tcPr>
          <w:p>
            <w:r/>
            <w:r>
              <w:rPr>
                <w:rFonts w:ascii="游ゴシック" w:hAnsi="游ゴシック" w:eastAsia="游ゴシック"/>
                <w:b/>
                <w:sz w:val="17"/>
              </w:rPr>
              <w:t>内容</w:t>
            </w:r>
          </w:p>
        </w:tc>
        <w:tc>
          <w:tcPr>
            <w:tcW w:type="dxa" w:w="1674"/>
          </w:tcPr>
          <w:p>
            <w:r/>
            <w:r>
              <w:rPr>
                <w:rFonts w:ascii="游ゴシック" w:hAnsi="游ゴシック" w:eastAsia="游ゴシック"/>
                <w:b/>
                <w:sz w:val="17"/>
              </w:rPr>
              <w:t>施行等の時期</w:t>
            </w:r>
          </w:p>
        </w:tc>
        <w:tc>
          <w:tcPr>
            <w:tcW w:type="dxa" w:w="2758"/>
          </w:tcPr>
          <w:p>
            <w:r/>
            <w:r>
              <w:rPr>
                <w:rFonts w:ascii="游ゴシック" w:hAnsi="游ゴシック" w:eastAsia="游ゴシック"/>
                <w:b/>
                <w:sz w:val="17"/>
              </w:rPr>
              <w:t>本計画における取扱い</w:t>
            </w:r>
          </w:p>
        </w:tc>
      </w:tr>
      <w:t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【暫定算定】</w:t>
      </w:r>
    </w:p>
    <w:p>
      <w:pPr>
        <w:spacing w:after="80"/>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【第10期に施行される見直し】</w:t>
      </w:r>
    </w:p>
    <w:p>
      <w:pPr>
        <w:spacing w:after="80"/>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972"/>
          </w:tcPr>
          <w:p>
            <w:r/>
            <w:r>
              <w:rPr>
                <w:rFonts w:ascii="游ゴシック" w:hAnsi="游ゴシック" w:eastAsia="游ゴシック"/>
                <w:b/>
                <w:sz w:val="17"/>
              </w:rPr>
              <w:t>区分</w:t>
            </w:r>
          </w:p>
        </w:tc>
        <w:tc>
          <w:tcPr>
            <w:tcW w:type="dxa" w:w="5040"/>
          </w:tcPr>
          <w:p>
            <w:r/>
            <w:r>
              <w:rPr>
                <w:rFonts w:ascii="游ゴシック" w:hAnsi="游ゴシック" w:eastAsia="游ゴシック"/>
                <w:b/>
                <w:sz w:val="17"/>
              </w:rPr>
              <w:t>見直しの内容</w:t>
            </w:r>
          </w:p>
        </w:tc>
        <w:tc>
          <w:tcPr>
            <w:tcW w:type="dxa" w:w="2739"/>
          </w:tcPr>
          <w:p>
            <w:r/>
            <w:r>
              <w:rPr>
                <w:rFonts w:ascii="游ゴシック" w:hAnsi="游ゴシック" w:eastAsia="游ゴシック"/>
                <w:b/>
                <w:sz w:val="17"/>
              </w:rPr>
              <w:t>時期</w:t>
            </w:r>
          </w:p>
        </w:tc>
      </w:tr>
      <w:t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