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令和8年9月25日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計画素案（916段落141表36図）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第6章と食い違っていたものを是正した。χ²と在籍・受給の差を留保一覧と課題整理に加えた。計画本文への反映状況を改めた</w:t>
            </w:r>
          </w:p>
        </w:tc>
      </w:tr>
      <w:tr>
        <w:trPr>
          <w:cantSplit/>
        </w:trPr>
        <w:tc>
          <w:tcPr>
            <w:tcW w:type="dxa" w:w="1134"/>
            <w:vAlign w:val="center"/>
          </w:tcPr>
          <w:p>
            <w:pPr>
              <w:keepNext/>
              <w:spacing w:after="0"/>
            </w:pPr>
            <w:r>
              <w:rPr>
                <w:rFonts w:ascii="游ゴシック" w:hAnsi="游ゴシック" w:eastAsia="游ゴシック"/>
                <w:b/>
                <w:sz w:val="18"/>
              </w:rPr>
              <w:t>9月24日</w:t>
            </w:r>
          </w:p>
        </w:tc>
        <w:tc>
          <w:tcPr>
            <w:tcW w:type="dxa" w:w="2268"/>
            <w:vAlign w:val="center"/>
          </w:tcPr>
          <w:p>
            <w:pPr>
              <w:keepNext/>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keepNext/>
              <w:spacing w:after="0"/>
            </w:pPr>
            <w:r>
              <w:rPr>
                <w:rFonts w:ascii="游ゴシック" w:hAnsi="游ゴシック" w:eastAsia="游ゴシック"/>
                <w:b w:val="0"/>
                <w:sz w:val="18"/>
              </w:rPr>
              <w:t>計画素案／本書</w:t>
            </w:r>
          </w:p>
        </w:tc>
        <w:tc>
          <w:tcPr>
            <w:tcW w:type="dxa" w:w="3855"/>
            <w:vAlign w:val="center"/>
          </w:tcPr>
          <w:p>
            <w:pPr>
              <w:keepNext/>
              <w:spacing w:after="0"/>
            </w:pPr>
            <w:r>
              <w:rPr>
                <w:rFonts w:ascii="游ゴシック" w:hAnsi="游ゴシック" w:eastAsia="游ゴシック"/>
                <w:b/>
                <w:sz w:val="18"/>
              </w:rPr>
              <w:t>所見20件のうち11件を反映済みとした。決定を要しないものはすべて反映した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9月25日</w:t>
            </w:r>
          </w:p>
        </w:tc>
        <w:tc>
          <w:tcPr>
            <w:tcW w:type="dxa" w:w="2268"/>
            <w:shd w:val="clear" w:color="auto" w:fill="F2F5FA"/>
            <w:vAlign w:val="center"/>
          </w:tcPr>
          <w:p>
            <w:pPr>
              <w:spacing w:after="0"/>
            </w:pPr>
            <w:r>
              <w:rPr>
                <w:rFonts w:ascii="游ゴシック" w:hAnsi="游ゴシック" w:eastAsia="游ゴシック"/>
                <w:b w:val="0"/>
                <w:sz w:val="18"/>
              </w:rPr>
              <w:t>調査の原典と報告書・計画素案の数値を突き合わせ、指標の定義・割合の分母・時点の混在を是正した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アンケート調査の集計分析報告書／実施済み調査 結果報告書／計画素案（916段落141表36図）／本書</w:t>
            </w:r>
          </w:p>
        </w:tc>
        <w:tc>
          <w:tcPr>
            <w:tcW w:type="dxa" w:w="3855"/>
            <w:shd w:val="clear" w:color="auto" w:fill="F2F5FA"/>
            <w:vAlign w:val="center"/>
          </w:tcPr>
          <w:p>
            <w:pPr>
              <w:spacing w:after="0"/>
            </w:pPr>
            <w:r>
              <w:rPr>
                <w:rFonts w:ascii="游ゴシック" w:hAnsi="游ゴシック" w:eastAsia="游ゴシック"/>
                <w:b/>
                <w:sz w:val="18"/>
              </w:rPr>
              <w:t>代表KPIの定義を計画素案の3か所で同じものにそろえた。在宅生活改善調査による割合の分母を設問ごとの有効回答に改めた。特定施設の入居率を施設別に示し、時点の異なる合計は参考値とした。報告書の体裁（節ごとの改ページ、表が紙面の途中で切れないこと、表の中の重要な値の強調）を整え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計画素案は現在916段落141表36図です。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