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Ver.1.13</w:t>
      </w:r>
    </w:p>
    <w:p>
      <w:pPr>
        <w:spacing w:after="80" w:before="80"/>
        <w:jc w:val="center"/>
      </w:pPr>
      <w:r>
        <w:rPr>
          <w:rFonts w:ascii="游ゴシック" w:cs="游ゴシック" w:eastAsia="游ゴシック" w:hAnsi="游ゴシック"/>
          <w:b w:val="false"/>
          <w:bCs w:val="false"/>
          <w:i/>
          <w:iCs/>
          <w:sz w:val="18"/>
          <w:szCs w:val="18"/>
        </w:rPr>
        <w:t xml:space="preserve">（アンケート調査結果 反映版）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3-2．主要施策の取組実績（6目標別・詳細）</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4-2．基本目標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4-3．計画の重点ポイント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5-1．健康づくり・介護予防の推進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5-2．高齢者が安心して暮らせるまちづくり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5-3．在宅生活継続の支援</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5-4．介護サービスの質の確保と人材確保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5-5．地域包括ケアシステムの深化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認知症施策推進計画(独立章)</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6-2．認知症施策の体系(7基本的施策)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7-1．サービス見込量の推計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7-2．介護給付費の見込み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7-3．介護保険料の試算(8ステップ・3パターン)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8-1．推進体制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8-2．進行管理(PDCAサイクル)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8-3．計画の評価と見直し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bl>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1.13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本版では、網掛けが黒く印刷される不具合を是正し、体裁を印刷に適した様式に統一しました。第9章に掲載している保険料の概算試算は確定値ではなく仮試算であり、第3回策定委員会（令和9年1月）で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共生社会の実現を推進するための認知症基本法第14条（市町村認知症施策推進計画）</w:t>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一般高齢者ニーズ調査（対象：65歳以上の高齢者1,000名）</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要支援・要介護認定者調査（対象：認定者300名）</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
（2022.3）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令和7年6月
（2025.6）</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1,569人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R7.6月分・年報データR3年度）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第1号被保険者の年齢階級別推移（R3年度末→R7.6月）</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第1号被保険者総数はほぼ横ばいだが、後期高齢者（75歳以上）は約11%増加。年齢構成の高齢化が進行している。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6月3,244人と微減ですが、内訳を見ると前期高齢者（65〜75歳未満）が約10%減少する一方、後期高齢者（75歳以上）は約11%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6月1,070人と4年で165人（+18.2%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人口動態（令和7年6月単月）</w:t>
      </w:r>
    </w:p>
    <w:p>
      <w:pPr>
        <w:spacing w:after="30" w:before="30" w:line="300"/>
        <w:ind w:left="431"/>
      </w:pPr>
      <w:r>
        <w:rPr>
          <w:rFonts w:ascii="游ゴシック" w:cs="游ゴシック" w:eastAsia="游ゴシック" w:hAnsi="游ゴシック"/>
          <w:i w:val="false"/>
          <w:iCs w:val="false"/>
          <w:sz w:val="21"/>
          <w:szCs w:val="21"/>
        </w:rPr>
        <w:t xml:space="preserve">・当月中増：11人（うち65歳到達8人・転入2人・その他1人）</w:t>
      </w:r>
    </w:p>
    <w:p>
      <w:pPr>
        <w:spacing w:after="30" w:before="30" w:line="300"/>
        <w:ind w:left="431"/>
      </w:pPr>
      <w:r>
        <w:rPr>
          <w:rFonts w:ascii="游ゴシック" w:cs="游ゴシック" w:eastAsia="游ゴシック" w:hAnsi="游ゴシック"/>
          <w:i w:val="false"/>
          <w:iCs w:val="false"/>
          <w:sz w:val="21"/>
          <w:szCs w:val="21"/>
        </w:rPr>
        <w:t xml:space="preserve">・当月中減：15人（うち死亡12人・転出3人）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・自然動態は減少局面（死亡&gt;65歳到達）に入っており、第1号被保険者数は今後緩やかに減少する見込み</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出典：年報データ2021（介護保険事業状況報告 令和3年度・様式1所得段階別）</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所得段階別第1号被保険者の構成（令和3年度末・計3,255人）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979人（30.1%）を占め、低所得高齢者への保険料軽減・補足給付の重要性が示されています。一方、本人課税層（第6〜9段階）は1,113人（34.2%）で、相対的な保険料負担力を有する層も一定規模存在し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万円以下の世帯非課税層）が431人と多く、後期高齢者の増加に伴いさらに増加する可能性があります。この層は保険料軽減措置（5割軽減）の対象であり、町の一般会計繰入（低所得者保険料軽減繰入金として令和3年度実績で約13,555千円）が継続的に必要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サービス受給者数（令和7年6月時点）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466人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出典：介護保険事業状況報告（保険者データ202506・様式1の6）</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サービス受給者の区分別構成（令和7年6月時点・延べ466人）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令和7年6月時点で、サービス受給者は延べ466人（重複あり）です。サービス区分別構成は、居宅サービス59.2%、地域密着型12.0%、施設28.8%となっており、在宅介護が主軸を占めています。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人のうち、要介護3以上が104人（77.6%）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人のうち、特養68人・老健66人がほぼ拮抗。介護療養型医療施設は令和5年度末に制度廃止されたため第10期では記載しない。介護医療院は0人であり、第10期見込量は0据置とするが、町提供実績データにも計上がないため取扱いを確認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6月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2-4　介護給付費の状況</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年間給付費（令和3年度実績）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26,821,755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339,234,895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366,056,650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2,490,773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54,605,942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57,096,715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16,765,707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173,710,493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190,476,200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152,764,596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152,764,596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441,678,518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441,678,518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26,821,755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933,678,009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960,499,764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出典：年報データ2021（介護保険事業状況報告 令和3年度・様式2給付費）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サービス区分別の年間給付費（令和3年度実績・総額9.6億円）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令和3年度のサービス種類別給付費合計は約9.6億円。施設サービスが46.0%、居宅サービスが38.1%、地域密着型が15.9%の構成。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46.0%を占めていることは、川崎町の介護給付構造の大きな特徴です。受給者数では28.8%（134人）に過ぎない施設サービス利用者が、給付費の半分近くを占めるのは、施設サービスの1人当たり単価が居宅サービスより大幅に高いためです。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1.9億円（給付費全体の19.8%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8,249万円と地域密着型給付費の54%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介護保険特別会計の状況（令和3年度）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1,042,179,056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933,658,461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26,841,303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26,815,719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52,467,842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32,071,763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出典：年報データ2021（介護保険事業状況報告 令和3年度・様式4）</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保険料収納実績（令和3年度）</w:t>
      </w:r>
    </w:p>
    <w:p>
      <w:pPr>
        <w:spacing w:after="30" w:before="30" w:line="300"/>
        <w:ind w:left="431"/>
      </w:pPr>
      <w:r>
        <w:rPr>
          <w:rFonts w:ascii="游ゴシック" w:cs="游ゴシック" w:eastAsia="游ゴシック" w:hAnsi="游ゴシック"/>
          <w:i w:val="false"/>
          <w:iCs w:val="false"/>
          <w:sz w:val="21"/>
          <w:szCs w:val="21"/>
        </w:rPr>
        <w:t xml:space="preserve">・調定額累計：237,836,453円　収納額累計：229,136,570円</w:t>
      </w:r>
    </w:p>
    <w:p>
      <w:pPr>
        <w:spacing w:after="30" w:before="30" w:line="300"/>
        <w:ind w:left="431"/>
      </w:pPr>
      <w:r>
        <w:rPr>
          <w:rFonts w:ascii="游ゴシック" w:cs="游ゴシック" w:eastAsia="游ゴシック" w:hAnsi="游ゴシック"/>
          <w:i w:val="false"/>
          <w:iCs w:val="false"/>
          <w:sz w:val="21"/>
          <w:szCs w:val="21"/>
        </w:rPr>
        <w:t xml:space="preserve">・収納率合計：96.3%（特別徴収100%・普通徴収現年度分87.3%）</w:t>
      </w:r>
    </w:p>
    <w:p>
      <w:pPr>
        <w:spacing w:after="30" w:before="30" w:line="300"/>
        <w:ind w:left="431"/>
      </w:pPr>
      <w:r>
        <w:rPr>
          <w:rFonts w:ascii="游ゴシック" w:cs="游ゴシック" w:eastAsia="游ゴシック" w:hAnsi="游ゴシック"/>
          <w:i w:val="false"/>
          <w:iCs w:val="false"/>
          <w:sz w:val="21"/>
          <w:szCs w:val="21"/>
        </w:rPr>
        <w:t xml:space="preserve">・不納欠損額：1,207,220円　未収額：7,492,663円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収納率96.3%は高水準。第10期保険料試算における予定収納率の根拠となる。</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いずれも令和8年6月から7月にかけて郵送により実施しました。割合は、設問ごとに無回答を除いた有効回答数（n）を分母として算出しています。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対象・配布</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有効回答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転倒の経験と不安、外出控えは相互に関連しています。転倒不安が「とても」大きい層では外出を控えている割合が48.1％に達し、不安が「ない」層（6.0％）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組織的な活動への参加は限定的である一方、新たなグループ活動への参加意向は半数を超えています。ただし企画・運営（お世話役）として関わる意向は4割にとどまり、担い手の確保が課題です。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生きがいがある55.3％（n=519）。両者には強い関連（p＜0.001）</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家族・友人以外に相談できる相手が「いない」との回答は、世帯構成によって37.0％から43.5％の範囲にあり、統計的な有意差は認められませんでした。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施設等への入所の申込みを最も強く分けているのは、要介護度の重さよりも家族介護者の有無でした。家族・親族の介護が「ない」層では56.9％が申込済みであり、介護が「ある」層（13.5％）の4.2倍で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n=76。介護者の高齢化が進んでいる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在宅の要介護者では、施設入所の申込みを最も強く分けているのは要介護度ではなく家族介護者の有無である。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各事業の数値実績（実施回数・対象者数・事業費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第9期取組実績の確定値は、別添『川崎町_第9期実績一覧_町記入用.xlsx』との連動で管理する。本素案Ver.1.13では事業項目と既知数値を提示する。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第10期への課題：ユニバーサルサポーター制度の質的向上、後期高齢者（75歳以上1,675人）の急増に対応した介護予防の対象拡大、中山間地域居住者の通いの場参加への移動支援との連動が課題です。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R3給付費約2,857万円（参考）</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人のうち77.6%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7年6月時点）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特養（68人）・老健（66人）受給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R7.6時点。介護療養型・介護医療院は0人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受給者数で参考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24人（R7.6時点）。町内施設縮小に伴い町外依存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R7.6＝24人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R3年度実績：32,071,763円（総合事業565＋一般195＋包括/任意2,447万円）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R3＝3,207万円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累計550名養成（地域福祉計画資料時点）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R7=550名累計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累計73名養成。サポーター養成講座の講師役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R7=73名累計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認知症初期集中支援チーム・地域支援推進員による対応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認知症基本法対応の新規取組。第10期で整備を目標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整備（令和8年9月1日提供の実績データでは令和6年度以降「整備」とされており、実態を確認中）、（2）認知症本人ミーティングの新規実施、（3）本人・家族の意見聴取（地域包括支援センター・国保川崎病院経由）、（4）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あり、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である一方、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在宅の認定者のうち家族介護もサービス利用もない世帯が50件（36.2％）。家族介護者の不在は施設入所の申込みと強く関連している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4-2　基本目標</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その考え方を継承したうえで、施策の整理の単位を「基本目標」に改め、認知症基本法への対応として認知症施策を基本目標6として新たに独立させ、次の6区分に再構成します。第9期の基本方針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pct" w:w="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第10期計画の基本目標</w:t>
            </w:r>
          </w:p>
        </w:tc>
        <w:tc>
          <w:tcPr>
            <w:tcW w:type="pct"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考え方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介護予防を明示して継承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r>
          </w:p>
          <w:p>
            <w:pPr>
              <w:spacing w:after="40" w:before="40" w:line="260"/>
              <w:jc w:val="center"/>
            </w:pPr>
            <w:r>
              <w:rPr>
                <w:rFonts w:ascii="游ゴシック" w:cs="游ゴシック" w:eastAsia="游ゴシック" w:hAnsi="游ゴシック"/>
                <w:i w:val="false"/>
                <w:iCs w:val="false"/>
                <w:sz w:val="18"/>
                <w:szCs w:val="18"/>
              </w:rPr>
              <w:t xml:space="preserve">　　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r>
          </w:p>
          <w:p>
            <w:pPr>
              <w:spacing w:after="40" w:before="40" w:line="260"/>
              <w:jc w:val="left"/>
            </w:pPr>
            <w:r>
              <w:rPr>
                <w:rFonts w:ascii="游ゴシック" w:cs="游ゴシック" w:eastAsia="游ゴシック" w:hAnsi="游ゴシック"/>
                <w:i w:val="false"/>
                <w:iCs w:val="false"/>
                <w:sz w:val="18"/>
                <w:szCs w:val="18"/>
              </w:rPr>
              <w:t xml:space="preserve">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見守り・移動支援・住まいを含めて継承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在宅生活の継続という観点で再構成</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介護予防・生活支援・包括的支援の各事業を</w:t>
            </w:r>
          </w:p>
          <w:p>
            <w:pPr>
              <w:spacing w:after="40" w:before="40" w:line="260"/>
              <w:jc w:val="left"/>
            </w:pPr>
            <w:r>
              <w:rPr>
                <w:rFonts w:ascii="游ゴシック" w:cs="游ゴシック" w:eastAsia="游ゴシック" w:hAnsi="游ゴシック"/>
                <w:i w:val="false"/>
                <w:iCs w:val="false"/>
                <w:sz w:val="18"/>
                <w:szCs w:val="18"/>
              </w:rPr>
              <w:t xml:space="preserve">目的別に配置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r>
          </w:p>
          <w:p>
            <w:pPr>
              <w:spacing w:after="40" w:before="40" w:line="260"/>
              <w:jc w:val="center"/>
            </w:pPr>
            <w:r>
              <w:rPr>
                <w:rFonts w:ascii="游ゴシック" w:cs="游ゴシック" w:eastAsia="游ゴシック" w:hAnsi="游ゴシック"/>
                <w:i w:val="false"/>
                <w:iCs w:val="false"/>
                <w:sz w:val="18"/>
                <w:szCs w:val="18"/>
              </w:rP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r>
          </w:p>
          <w:p>
            <w:pPr>
              <w:spacing w:after="40" w:before="40" w:line="260"/>
              <w:jc w:val="left"/>
            </w:pPr>
            <w:r>
              <w:rPr>
                <w:rFonts w:ascii="游ゴシック" w:cs="游ゴシック" w:eastAsia="游ゴシック" w:hAnsi="游ゴシック"/>
                <w:i w:val="false"/>
                <w:iCs w:val="false"/>
                <w:sz w:val="18"/>
                <w:szCs w:val="18"/>
              </w:rPr>
              <w:t xml:space="preserve">　　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供給体制・人材確保を加えて再構成</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r>
          </w:p>
          <w:p>
            <w:pPr>
              <w:spacing w:after="40" w:before="40" w:line="260"/>
              <w:jc w:val="center"/>
            </w:pPr>
            <w:r>
              <w:rPr>
                <w:rFonts w:ascii="游ゴシック" w:cs="游ゴシック" w:eastAsia="游ゴシック" w:hAnsi="游ゴシック"/>
                <w:i w:val="false"/>
                <w:iCs w:val="false"/>
                <w:sz w:val="18"/>
                <w:szCs w:val="18"/>
              </w:rPr>
              <w:t xml:space="preserve">　　包括的支援）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地域包括ケアの深化を独立させた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（基本方針3に含まれていた</w:t>
            </w:r>
          </w:p>
          <w:p>
            <w:pPr>
              <w:spacing w:after="40" w:before="40" w:line="260"/>
              <w:jc w:val="center"/>
            </w:pPr>
            <w:r>
              <w:rPr>
                <w:rFonts w:ascii="游ゴシック" w:cs="游ゴシック" w:eastAsia="游ゴシック" w:hAnsi="游ゴシック"/>
                <w:i w:val="false"/>
                <w:iCs w:val="false"/>
                <w:sz w:val="18"/>
                <w:szCs w:val="18"/>
              </w:rPr>
              <w:t xml:space="preserve">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認知症基本法を踏まえ独立章として新設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基本目標</w:t>
            </w:r>
          </w:p>
        </w:tc>
        <w:tc>
          <w:tcPr>
            <w:tcW w:type="pct"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1．健康づくりと
　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健康寿命の延伸・フレイル予防・通いの場の充実・口腔と栄養の支援を推進し、高齢者がいつまでも元気に生活できる地域づくりを進めます。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2．高齢者が安心して
　暮らせる仕組みづくり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見守り・地域支え合い・移動支援・住まいの確保等、独居高齢者・高齢者世帯・老老介護世帯が安心して暮らせる仕組みを整えます。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在宅医療・介護連携、家族介護者支援、緊急時対応、住宅改修等により、住み慣れた自宅・地域での生活継続を支援します。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4．介護サービスの
　質の確保と提供体制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介護サービスの質の確保、町外施設利用も含めた供給体制の整備、介護人材の確保・育成を推進します。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5．地域包括ケアシステム
　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地域包括支援センターを中心に、医療・介護・予防・住まい・生活支援を一体的に提供する地域包括ケアシステムをさらに深化させます。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6．認知症施策の
　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認知症基本法に基づき、認知症の人本人の意思を尊重し、認知症の人もそうでない人もともに暮らせる共生社会の実現を目指します（第6章で独立章として位置付け）。</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基本目標を達成するため、以下の4つの重点ポイントを設定します。これらは、川崎町固有の課題（後期高齢者の急増・町外施設依存・移動支援の再構築・認知症基本法対応・8050問題）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pct" w:w="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pct"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対応する基本目標・関連施策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
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基本目標6を新設し、独立章（第6章）として位置付け。本人意見反映・チームオレンジ整備・認知症カフェ充実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
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基本目標2。タクシー助成終了後の社協・NPO移送＋デマンドバスの周知強化、施設偏在への対応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地域包括ケアの深化
と家族介護者支援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基本目標3・5。8050問題・老老介護への対応、介護者レスパイト、包括センター体制強化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
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基本目標4。みやぎ県南中核病院等との広域医療連携、住所地特例を含めた施設供給見込量</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本計画の基本理念・基本目標・施策の体系は以下のとおりです。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p>
            <w:pPr>
              <w:spacing w:after="80" w:before="80"/>
              <w:jc w:val="center"/>
            </w:pPr>
            <w:r>
              <w:rPr>
                <w:rFonts w:ascii="游ゴシック" w:cs="游ゴシック" w:eastAsia="游ゴシック" w:hAnsi="游ゴシック"/>
                <w:i w:val="false"/>
                <w:iCs w:val="false"/>
                <w:sz w:val="24"/>
                <w:szCs w:val="24"/>
              </w:rPr>
              <w:t xml:space="preserve">↓</w:t>
            </w:r>
          </w:p>
        </w:tc>
      </w:tr>
      <w:tr>
        <w:tc>
          <w:tcPr/>
          <w:p>
            <w:pPr>
              <w:spacing w:after="80" w:before="80"/>
              <w:jc w:val="center"/>
            </w:pPr>
            <w:r>
              <w:rPr>
                <w:rFonts w:ascii="游ゴシック" w:cs="游ゴシック" w:eastAsia="游ゴシック" w:hAnsi="游ゴシック"/>
                <w:i w:val="false"/>
                <w:iCs w:val="false"/>
                <w:sz w:val="22"/>
                <w:szCs w:val="22"/>
              </w:rPr>
              <w:t xml:space="preserve">【6つの基本目標】</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健康づくりと介護予防の推進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在宅生活の継続支援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介護サービスの質の確保と提供体制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認知症施策の総合的推進（新設・独立章）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6つの基本目標のうち、認知症施策（基本目標6）を除く基本目標1〜5に対応する施策を、施策体系・主な事業・成果指標（KPI）の3層構造で整理します。認知症施策（基本目標6）は第6章で、サービス提供体制と介護人材の確保は第7章で、保険者としての管理・評価は第8章（地域マネジメントの推進）で、それぞれ独立章として詳述しま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w:t>
      </w:r>
    </w:p>
    <w:p>
      <w:pPr>
        <w:spacing w:after="100" w:before="200" w:line="320"/>
      </w:pPr>
      <w:r>
        <w:rPr>
          <w:rFonts w:ascii="游ゴシック" w:cs="游ゴシック" w:eastAsia="游ゴシック" w:hAnsi="游ゴシック"/>
          <w:b w:val="1"/>
          <w:bCs w:val="1"/>
          <w:i w:val="false"/>
          <w:iCs w:val="false"/>
          <w:sz w:val="25"/>
          <w:szCs w:val="25"/>
        </w:rPr>
        <w:t>5-1　健康づくり・介護予防の推進（基本目標1）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が生きがいもあると回答しており（趣味が思いつかない人では14.5％）、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5-2　高齢者が安心して暮らせるまちづくり（基本目標2）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町・包括・民生委員</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5-3　在宅生活継続の支援（基本目標3）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申込みの有無を最も強く分けていたのは要介護度の重さではなく家族介護者の有無であり、家族・親族の介護が「ない」層では56.9％が申込済み（介護が「ある」層は13.5％）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家族介護教室・介護相談・レスパイト（短期入所）の活用支援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8050・老老介護世帯における介護と仕事の両立支援、町内事業所との連携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で、家族・親族からの介護がない層が45.8％（n=142）あり、この層の56.9％が既に施設入所を申し込んでいます（介護が「ある」層は13.5％）。さらに、家族介護もサービス利用もない世帯が50件・36.2％（n=138）あり、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施設入所の申込みを最も強く分けているのは、要介護度ではなく家族介護者の有無である。家族介護者への支援は、施設サービスの見込量に直接影響する施策である。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主な事業（家族介護者への支援）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介護方法・認知症の理解・腰痛予防等をテーマとした教室の開催。介護者の不安で最多タイの「認知症状への対応」を重点に扱う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家族介護者の相談・交流の場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介護者どうしが経験を分かち合う集い（ピアサポート）の場を設け、介護者の孤立を防ぐ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短期入所の空き状況の情報提供と利用の調整。介護者の休息を確保する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介護離職の防止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町内事業所（雇用主）と連携した仕事と介護の両立支援の周知、相談窓口の案内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家族介護もサービス利用もない在宅の認定者（約36％）を、ケアマネジャー・民生委員・ふれあいネットワークと連携して把握する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重層的支援体制整備事業に接続し、高齢×子ども×障害の複合的な課題を抱える世帯を支援する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5-4　介護サービスの質の確保と人材確保（基本目標4）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i w:val="false"/>
          <w:iCs w:val="false"/>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介護人材の確保については、第1回策定委員会で最大の論点となったことを踏まえ、第10期計画では独立章（第7章 サービス提供体制と介護人材の確保）として整理します。また、介護サービスの質の向上、介護給付の適正化、計画の評価と公表に係る保険者としての取組は、第8章（地域マネジメントの推進）に整理します。本節では、介護サービスの質の確保と、町外施設利用を含めた供給体制の整備を扱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町・事業所</w:t>
            </w:r>
          </w:p>
        </w:tc>
      </w:tr>
    </w:tbl>
    <w:p>
      <w:pPr>
        <w:spacing w:after="100" w:before="200" w:line="320"/>
      </w:pPr>
      <w:r>
        <w:rPr>
          <w:rFonts w:ascii="游ゴシック" w:cs="游ゴシック" w:eastAsia="游ゴシック" w:hAnsi="游ゴシック"/>
          <w:b w:val="1"/>
          <w:bCs w:val="1"/>
          <w:i w:val="false"/>
          <w:iCs w:val="false"/>
          <w:sz w:val="25"/>
          <w:szCs w:val="25"/>
        </w:rPr>
        <w:t>5-5　地域包括ケアシステムの深化（基本目標5）</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自立支援型地域ケア会議は、要支援・要介護認定者の自立支援を多職種で検討する仕組みとして既に開催実績がありますが、第10期では多職種連携（医療・介護・地域）の深化、ケース検討から地域課題抽出への展開を重点化します。生活支援コーディネーター（SC）25名・第1層協議体・第2層協議体による生活支援体制整備事業も継続し、ユニバーサルサポーター制度との連動で地域支え合いを促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本章は、令和6年1月に施行された「共生社会の実現を推進するための認知症基本法」第14条に基づく市町村認知症施策推進計画として、本計画に独立章として位置付けるものです。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川崎町では、第10期計画期間（令和9〜11年度）に向けて、認知症施策を独立章として位置付けることで、認知症基本法の理念・基本的施策に対応した包括的な計画体系を構築します。</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が掲げられています（第3条）。</w:t>
      </w:r>
    </w:p>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本人意見の反映（基本法第3条）：認知症本人・家族の意見を地域包括支援センター及び国保川崎病院経由で聴取し、計画・施策に反映</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7基本的施策の体系化：基本法第15〜21条の7基本的施策に対応した町施策の体系化</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100" w:before="200" w:line="320"/>
      </w:pPr>
      <w:r>
        <w:rPr>
          <w:rFonts w:ascii="游ゴシック" w:cs="游ゴシック" w:eastAsia="游ゴシック" w:hAnsi="游ゴシック"/>
          <w:b w:val="1"/>
          <w:bCs w:val="1"/>
          <w:i w:val="false"/>
          <w:iCs w:val="false"/>
          <w:sz w:val="25"/>
          <w:szCs w:val="25"/>
        </w:rPr>
        <w:t>6-2　認知症施策の体系（7基本的施策）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認知症基本法第15条から第21条までの7基本的施策と、川崎町の対応施策を以下のとおり対応付けます。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認知症サポーター養成講座の継続（累計550名）。企業・学校サポーター養成の拡大。世界アルツハイマー月間（9月）に合わせた啓発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公共施設・交通・買い物環境におけるバリアフリー化、認知症の人にやさしい地域づくり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認知症カフェ「喫茶みかん」の運営継続。認知症本人ミーティング・ピアサポート活動の場の確保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保健医療・福祉サービスの提供体制の整備等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認知症初期集中支援チームの強化、認知症地域支援推進員の配置、国保川崎病院との連携強化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認知症本人・家族の意見聴取（基本法第3条対応）、認知症施策への当事者参画</w:t>
            </w:r>
          </w:p>
        </w:tc>
      </w:tr>
    </w:tbl>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7基本的施策（第15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とJ-3（本人ミーティング）の一部は基本法対応の新規整備、J-4（早期発見・対応）とJ-5（医療連携）は本町の医療資源（国民健康保険川崎病院）を活かした体制強化として位置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累計550名のサポーターを基盤に、企業・学校サポーターを増やし、活動の質を向上。キャラバンメイト（累計73名）の活動継続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認知症サポーターのうち、地域でステップアップしたメンバーによるチームオレンジを整備。本人・家族支援を実践</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認知症カフェ「喫茶みかん」の運営継続。認知症本人ミーティングの新設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認知症初期集中支援チームの強化、認知症地域支援推進員の活動、もの忘れ相談の継続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pct"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
（活動量）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
（成果物）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チームオレンジ整備状況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整備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
（住民の変化）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80" w:line="280"/>
        <w:ind w:left="288"/>
      </w:pPr>
      <w:r>
        <w:rPr>
          <w:rFonts w:ascii="游ゴシック" w:cs="游ゴシック" w:eastAsia="游ゴシック" w:hAnsi="游ゴシック"/>
          <w:i/>
          <w:iCs/>
          <w:sz w:val="19"/>
          <w:szCs w:val="19"/>
        </w:rPr>
        <w:t xml:space="preserve">⚠ 認知症本人・家族の意見聴取は、郵送のアンケート調査とは別チャネル（地域包括支援センター・国保川崎病院経由）で実施します。聴取結果はVer.2.0で本章に反映します。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50.85点）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目標Ⅰの「評価結果の活用」が16点から0点に、目標Ⅱの「給付費適正化事業の取組状況」が6点から0点となった。本章の各節は、この2つの回復を具体的な目的とする。</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が6点から0点となっており、第10期の重点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交付金の減点項目。実施の状況を確認する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今年度の評価点」及び「後期高齢者数と給付費の伸び率の比較」に対応します。令和8年度の評価ではいずれも3点から0点となっており、様式を定めて継続することで回復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のア〜エがすべて0点となりました（令和7年度は各4点で満点）。この指標は、施策の評価結果を計画に反映し、公表しているかを問うものです。取組そのものではなく、評価結果を計画に反映して公表する手順が定まっているかが要件となります。</w:t>
      </w:r>
    </w:p>
    <w:p>
      <w:pPr>
        <w:spacing w:after="40" w:before="40" w:line="300"/>
        <w:ind w:left="431"/>
      </w:pPr>
      <w:r>
        <w:rPr>
          <w:rFonts w:ascii="游ゴシック" w:cs="游ゴシック" w:eastAsia="游ゴシック" w:hAnsi="游ゴシック"/>
          <w:i w:val="false"/>
          <w:iCs w:val="false"/>
          <w:sz w:val="21"/>
          <w:szCs w:val="21"/>
        </w:rPr>
        <w:t xml:space="preserve">①　毎年度、第10章のKPI管理表により指標の達成状況を評価する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評価の結果を策定委員会（又は同等の組織）に報告し、次年度の事業計画に反映する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評価の結果と、計画に反映した内容を町ホームページで公表する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公表の時期・様式をあらかじめ定め、担当を固定する</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「評価結果の活用」の16点は、第10期で回復可能な得点である。評価を実施すること自体ではなく、評価結果を計画に反映し公表する手順を定めることが要件となる。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の試算を示します。本素案Ver.1.13では、令和8年9月1日に町からご提供いただいた実績データ等により算定した保険料の概算試算を掲載しています。これは確定値ではなく仮試算であり、国民健康保険団体連合会の給付実績、所得段階別被保険者数、調整交付金の交付実績、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サービス見込量は、以下の基本ロジックに基づき算定します。</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将来人口 × 認定率 × 利用率 × 1人当たり利用量</w:t>
      </w:r>
    </w:p>
    <w:p>
      <w:pPr>
        <w:spacing w:after="80" w:before="50" w:line="320"/>
        <w:ind w:firstLine="200"/>
        <w:jc w:val="left"/>
      </w:pPr>
      <w:r>
        <w:rPr>
          <w:rFonts w:ascii="游ゴシック" w:cs="游ゴシック" w:eastAsia="游ゴシック" w:hAnsi="游ゴシック"/>
          <w:i w:val="false"/>
          <w:iCs w:val="false"/>
          <w:sz w:val="21"/>
          <w:szCs w:val="21"/>
        </w:rPr>
        <w:t xml:space="preserve">この基本式に、川崎町固有の補正要素（住所地特例による町外施設利用、認知症基本法対応の地域支援事業拡充、ユニバーサルサポーター制度による軽度認定者の重度化抑制等）を組み込みます。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基本式は、地域包括ケア「見える化」システムの推計ツールが用いる自然体推計と同じ考え方です。自然体推計では、要介護認定率、施設・居住系サービスの利用率、在宅サービスの利用率、1人1月あたりの利用回（日）数について、直近年度の実績が将来も継続すると仮定して推計します。施設サービス（介護老人福祉施設・地域密着型介護老人福祉施設・介護老人保健施設）については、計画期間中は直近年度の利用者数が一定であると仮定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見込量が3か年でほぼ同一の値となっているのは、この自然体推計の仕様によるものであり、町が施策による調整（施策反映）を加えていないためです。第10期では、自然体推計を出発点としたうえで、介護予防の強化、在宅サービスの利用勧奨、サービス提供体制の制約といった要素をどこまで見込量に反映させるかが論点となり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国立社会保障・人口問題研究所「日本の地域別将来推計人口（令和5年推計）」を基本。住民基本台帳との突合で補正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性別・年齢階級別（5歳階級）認定率を、直近5年間（R3〜R7）の実績推移から算定。後期高齢者の急増局面を反映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町保険者データ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国保連データから、サービス種類別の利用率（認定者中の利用者割合）を算定。直近年度を基本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国保連・町実績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
　利用量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実績データから月平均利用量（訪問介護＝時間、通所介護＝回数、施設＝日数等）を算定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町給付実績</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社人研データから令和9〜11年度の年齢階級別人口（前期高齢者・75〜85歳未満・85歳以上）を推計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年齢階級別認定率を将来人口に乗じて、要介護度別認定者数を推計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利用率算定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国保連データから、サービス種類別の利用率（認定者中の利用者割合）を算定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認定者推計 × 利用率 × 1人当たり利用量 により、年度別・サービス種類別の見込量を算定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アンケート補正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一般高齢者ニーズ調査・認定者調査の結果から、潜在ニーズ・利用意向を反映して見込量を補正</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見える化登録・比較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見える化システムに登録し、仙南圏域（柴田町・大河原町・村田町・丸森町・蔵王町・七ヶ宿町）と比較確認</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年度別サービス見込量（数値枠）</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第10期計画期間中（令和9〜11年度）の年度別・サービス種類別見込量は、上記6ステップを経て下表のとおり算定します。本素案Ver.1.13では枠のみ提示し、Ver.2.0で確定値を記載します。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R3実績</w:t>
            </w:r>
          </w:p>
        </w:tc>
        <w:tc>
          <w:tcPr>
            <w:tcW w:type="pct" w:w="1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R9</w:t>
            </w:r>
          </w:p>
        </w:tc>
        <w:tc>
          <w:tcPr>
            <w:tcW w:type="pct" w:w="1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R10</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通所介護（デイサービス）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通所リハビリ（デイケア）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短期入所（ショートステイ）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件/月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認知症対応型共同生活介護（GH）</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小規模多機能型居宅介護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介護老人福祉施設（特養・町外含む）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介護老人保健施設（老健・町外含む）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介護療養型・介護医療院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w:t>
            </w:r>
          </w:p>
        </w:tc>
      </w:tr>
    </w:tbl>
    <w:p>
      <w:pPr>
        <w:spacing w:after="80" w:before="30" w:line="260"/>
        <w:jc w:val="right"/>
      </w:pPr>
      <w:r>
        <w:rPr>
          <w:rFonts w:ascii="游ゴシック" w:cs="游ゴシック" w:eastAsia="游ゴシック" w:hAnsi="游ゴシック"/>
          <w:i/>
          <w:iCs/>
          <w:sz w:val="17"/>
          <w:szCs w:val="17"/>
        </w:rPr>
        <w:t xml:space="preserve">出典：R3実績：年報データ2021／R9〜R11見込み：Ver.2.0で確定（社人研推計＋6ステップ算定）</w:t>
      </w:r>
    </w:p>
    <w:p>
      <w:pPr>
        <w:spacing w:after="80" w:before="80" w:line="280"/>
        <w:ind w:left="288"/>
      </w:pPr>
      <w:r>
        <w:rPr>
          <w:rFonts w:ascii="游ゴシック" w:cs="游ゴシック" w:eastAsia="游ゴシック" w:hAnsi="游ゴシック"/>
          <w:i/>
          <w:iCs/>
          <w:sz w:val="19"/>
          <w:szCs w:val="19"/>
        </w:rPr>
        <w:t xml:space="preserve">⚠ 年度別・サービス種類別見込量の確定値は、町担当課提供データ、国保連データ、アンケート結果、国通知の反映を経て、Ver.2.0で記載します。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地域支援事業（介護予防・日常生活支援総合事業、包括的支援事業、任意事業）の量の見込みも、サービス見込量と同様に第10期計画期間中の年度別実施量を算定します。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R3実績</w:t>
            </w:r>
          </w:p>
        </w:tc>
        <w:tc>
          <w:tcPr>
            <w:tcW w:type="pct"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R9〜R11見込み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介護予防・生活支援サービス事業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約565万円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【町確認・アンケート結果反映後確定】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約195万円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【ユニバーサルサポーター制度との整合確認】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包括的支援・任意事業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約2,447万円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【包括センター体制強化を反映】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約3,207万円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【国の上限額管理基準を踏まえ確定】</w:t>
            </w:r>
          </w:p>
        </w:tc>
      </w:tr>
    </w:tbl>
    <w:p>
      <w:pPr>
        <w:spacing w:after="80" w:before="30" w:line="260"/>
        <w:jc w:val="right"/>
      </w:pPr>
      <w:r>
        <w:rPr>
          <w:rFonts w:ascii="游ゴシック" w:cs="游ゴシック" w:eastAsia="游ゴシック" w:hAnsi="游ゴシック"/>
          <w:i/>
          <w:iCs/>
          <w:sz w:val="17"/>
          <w:szCs w:val="17"/>
        </w:rPr>
        <w:t xml:space="preserve">出典：R3実績：年報データ2021・様式4／R9〜R11見込み：Ver.2.0で確定</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介護給付費の見込みは、サービス見込量に各種単価・加算率を乗じて算定します。標準給付費見込額は、保険料算定の出発点となる極めて重要な数値です。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サービス種類別単価 × 加算率 で算定。3年間の累計値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 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自己負担月額の上限超過分の払戻し（R3実績 約2,682万円）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 高額医療合算介護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医療＋介護の合算自己負担上限超過分（R3実績 約240万円）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 特定入所者介護費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低所得施設入所者の食費・居住費補足給付（R3実績 約5,247万円）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保険給付費総額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R3実績：約10.4億円。第10期で給付費上方圧力（後期高齢者+10.9%）が見込まれる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総合事業・包括的支援事業・任意事業（R3実績 約3,207万円）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給付費見込み（令和8年9月時点の仮試算）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R3実績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R9</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R10</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標準給付費（サービス種類別）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約9.6億円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【Ver.2.0で内訳】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【Ver.2.0で内訳】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【Ver.2.0で内訳】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高額・特定入所者等を加算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+約0.8億円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【Ver.2.0で内訳】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【Ver.2.0で内訳】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【Ver.2.0で内訳】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保険給付費総額（標準給付費見込額）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約10.4億円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1,140,363千円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1,157,469千円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1,174,831千円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約0.32億円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45,272千円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45,272千円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45,272千円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3年累計（仮試算・中位ケース）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3,608,480千円（標準給付費3,472,663＋地域支援事業費135,817）</w:t>
            </w:r>
          </w:p>
        </w:tc>
      </w:tr>
    </w:tbl>
    <w:p>
      <w:pPr>
        <w:spacing w:after="80" w:before="30" w:line="260"/>
        <w:jc w:val="right"/>
      </w:pPr>
      <w:r>
        <w:rPr>
          <w:rFonts w:ascii="游ゴシック" w:cs="游ゴシック" w:eastAsia="游ゴシック" w:hAnsi="游ゴシック"/>
          <w:i/>
          <w:iCs/>
          <w:sz w:val="17"/>
          <w:szCs w:val="17"/>
        </w:rPr>
        <w:t xml:space="preserve">出典：R3実績：年報データ2021／R9〜R11：令和8年9月時点の概算試算（中位ケース・仮試算）。サービス種類別の内訳と確定値はVer.2.0で記載</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8年度の保険給付費見込額1,106,907千円を基礎に、給付費が年1.5％増加し、令和9年度に介護報酬が1.5％改定されると仮定した中位ケースの仮試算です。3年間の標準給付費は3,472,663千円（第9期計画3,294,553千円に対し+5.4％）、地域支援事業費は135,817千円（同91,560千円に対し+48.3％）となります。国民健康保険団体連合会の給付実績によるサービス種類別の積上げを経て、Ver.2.0で確定値に置き換え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令和6年度から令和7年度にかけて標準給付費が1,093,253千円から1,085,203千円へ0.7％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おり、供給可能量の分析を踏まえた推計が必要で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介護保険料の試算（8ステップ・3パターン）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7,703円／B 7,023円／C 6,344円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+1,203円／B +523円／C ▲156円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本計画（令和8年9月時点の仮試算）</w:t>
            </w:r>
          </w:p>
        </w:tc>
      </w:tr>
    </w:tbl>
    <w:p>
      <w:pPr>
        <w:spacing w:after="80" w:before="50" w:line="320"/>
        <w:ind w:firstLine="200"/>
        <w:jc w:val="left"/>
      </w:pPr>
      <w:r>
        <w:rPr>
          <w:rFonts w:ascii="游ゴシック" w:cs="游ゴシック" w:eastAsia="游ゴシック" w:hAnsi="游ゴシック"/>
          <w:i w:val="false"/>
          <w:iCs w:val="false"/>
          <w:sz w:val="18"/>
          <w:szCs w:val="18"/>
        </w:rPr>
        <w:t>※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介護保険料月額基準額の推移と第10期の仮試算3パターン（令和8年9月時点・確定値は第3回策定委員会で決定）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介護給付費準備基金の取崩し、収納率の維持（総合収納率は令和2〜6年度で96.4〜96.7％）等により、保険料水準の抑制が可能となりま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9-1で確定したサービス見込量×単価×加算率で、3年間の標準給付費を算出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（標準給付費＋地域支援事業費）× 第1号被保険者負担割合。第9期は23％。第10期の割合は政令で定められ、24％となった場合は月額約322円の上昇となる（確認事項No.61）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第9期計画の見込率は3.9％（129,349千円／標準給付費3,294,553千円）、令和8年度の見込率は3.67％。本試算は3.7％を用いており、交付実績の確認を要する（確認事項No.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第9期で借入があれば償還金計上（川崎町では従来借入なし）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
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第9期計画では3か年計9,875人としています。「予定保険料収納率」は次節で詳述します。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152,500千円（保険料に換算して月額約1,359円分）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r>
    </w:tbl>
    <w:p>
      <w:pPr>
        <w:spacing w:after="80" w:before="180" w:line="300"/>
      </w:pPr>
      <w:r>
        <w:rPr>
          <w:rFonts w:ascii="游ゴシック" w:cs="游ゴシック" w:eastAsia="游ゴシック" w:hAnsi="游ゴシック"/>
          <w:b w:val="1"/>
          <w:bCs w:val="1"/>
          <w:i w:val="false"/>
          <w:iCs w:val="false"/>
          <w:sz w:val="22"/>
          <w:szCs w:val="22"/>
        </w:rPr>
        <w:t xml:space="preserve">　▌ 試算3パターン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以下の3パターンを試算しました。掲載した月額基準額は令和8年9月時点の仮試算であり、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月額基準額（仮試算・中位）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7,703円（第9期比 +1,203円）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給付費増を一部相殺し、現実的な保険料水準を維持。次期負担との均衡を取る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7,023円（第9期比 +523円）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6,344円（第9期比 ▲156円）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令和8年9月2日時点で入手している資料により、中位ケース（給付費の自然増を年1.5％、令和9年度の介護報酬改定を+1.5％と仮定）で試算すると、月額基準額はパターンA 7,703円、パターンB 7,023円、パターンC 6,344円となります。第9期の6,500円との差は、それぞれ+1,203円、+523円、▲156円です。パターンCで第9期を下回るのは、準備基金152,500千円が保険料に換算して月額約1,359円分に相当するためです。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試算は、国民健康保険団体連合会の給付実績、所得段階別被保険者数、調整交付金の交付実績、及び令和9年度の介護報酬改定の内容が未確定の段階での仮試算です。給付費の伸びを年0.5％・報酬改定なしとした低位ケースでは7,446円・6,766円・6,087円、年2.5％・報酬改定+2.5％とした高位ケースでは7,928円・7,249円・6,569円となります。また、第10期の第1号被保険者負担割合が24％と定められた場合は、パターンBで約7,345円となりま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第1〜第3段階（住民税世帯非課税）979人・30.1％（令和3年度）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所得段階別被保険者数の提供を受けて負担への影響を試算（確認事項No.10）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2年度から令和6年度まで96.4〜96.7％で推移しており、令和8年度の見込みは97.0％です。本計画の概算試算では、第9期計画と同じ96.0％を用いています。なお、町提供実績データの令和7年度の値99.6％は他の年度と乖離しており、現年度分の収納率と取り違えている可能性があるため確認中です（確認事項No.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町提供実績データ（決算書）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R2 96.6／R3 96.4／R4 96.7／R5 96.6／R6 96.7／R7 99.6（他年度と乖離があり確認中）／R8見込 97.0（％）</w:t>
            </w:r>
          </w:p>
        </w:tc>
      </w:tr>
    </w:tbl>
    <w:p>
      <w:pPr>
        <w:spacing w:after="80" w:before="30" w:line="260"/>
        <w:jc w:val="right"/>
      </w:pPr>
      <w:r>
        <w:rPr>
          <w:rFonts w:ascii="游ゴシック" w:cs="游ゴシック" w:eastAsia="游ゴシック" w:hAnsi="游ゴシック"/>
          <w:i/>
          <w:iCs/>
          <w:sz w:val="17"/>
          <w:szCs w:val="17"/>
        </w:rPr>
        <w:t xml:space="preserve">出典：令和3年度：年報データ2021・様式3／令和2〜8年度：町提供実績データ（令和8年9月1日受領・05シート、出典は決算書）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所得段階別保険料（第10期は仮試算）</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仮試算Ｂ（基金50％取崩・月額7,023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150"/>
        <w:gridCol w:w="80"/>
        <w:gridCol w:w="105"/>
        <w:gridCol w:w="11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dxa" w:w="10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月額（仮試算Ｂ）</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3,195円（軽減後2,002円）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4,811円（軽減後3,406円）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4,846円（軽減後4,811円）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6,321円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7,023円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8,428円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9,130円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10,535円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11,939円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13,344円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14,748円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16,153円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16,855円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令和8年9月時点の仮試算Ｂ（月額7,023円）に第9期の乗率を乗じた参考値であり、国の標準乗率の提示及び所得段階別被保険者数（確認事項No.10）の確認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1.13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