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A7159" w14:textId="77777777" w:rsidR="00AF4EBE" w:rsidRPr="00AF4EBE" w:rsidRDefault="00AF4EBE" w:rsidP="009B1D8E">
      <w:pPr>
        <w:shd w:val="clear" w:color="205C56" w:fill="auto"/>
        <w:spacing w:after="60"/>
        <w:jc w:val="center"/>
        <w:rPr>
          <w:rFonts w:ascii="BIZ UDPゴシック" w:eastAsia="BIZ UDPゴシック" w:hAnsi="BIZ UDPゴシック"/>
          <w:color w:val="FFFFFF" w:themeColor="background1"/>
          <w:sz w:val="28"/>
          <w:szCs w:val="28"/>
        </w:rPr>
      </w:pPr>
    </w:p>
    <w:p w14:paraId="161B1F0E" w14:textId="77777777" w:rsidR="003F1968" w:rsidRPr="002D6C0A" w:rsidRDefault="00000000" w:rsidP="009B1D8E">
      <w:pPr>
        <w:shd w:val="clear" w:color="205C56" w:fill="auto"/>
        <w:spacing w:after="60"/>
        <w:jc w:val="center"/>
        <w:rPr>
          <w:rFonts w:ascii="BIZ UDPゴシック" w:eastAsia="BIZ UDPゴシック" w:hAnsi="BIZ UDPゴシック"/>
          <w:color w:val="FFFFFF" w:themeColor="background1"/>
          <w:sz w:val="24"/>
          <w:szCs w:val="24"/>
        </w:rPr>
      </w:pPr>
      <w:r>
        <w:rPr>
          <w:rFonts w:ascii="BIZ UDPゴシック" w:eastAsia="BIZ UDPゴシック" w:hAnsi="BIZ UDPゴシック"/>
          <w:color w:val="FFFFFF" w:themeColor="background1"/>
          <w:sz w:val="28"/>
          <w:szCs w:val="28"/>
        </w:rPr>
        <w:t xml:space="preserve">川崎町　高齢者保健福祉計画・第１０期介護保険事業計画</w:t>
      </w:r>
    </w:p>
    <w:p w14:paraId="298306A6" w14:textId="77777777" w:rsidR="003F1968" w:rsidRPr="002D6C0A" w:rsidRDefault="00000000" w:rsidP="009B1D8E">
      <w:pPr>
        <w:shd w:val="clear" w:color="205C56" w:fill="auto"/>
        <w:spacing w:after="160"/>
        <w:jc w:val="center"/>
        <w:rPr>
          <w:rFonts w:ascii="BIZ UDPゴシック" w:eastAsia="BIZ UDPゴシック" w:hAnsi="BIZ UDPゴシック"/>
          <w:color w:val="FFFFFF" w:themeColor="background1"/>
          <w:sz w:val="24"/>
          <w:szCs w:val="24"/>
        </w:rPr>
      </w:pPr>
      <w:r>
        <w:rPr>
          <w:rFonts w:ascii="BIZ UDPゴシック" w:eastAsia="BIZ UDPゴシック" w:hAnsi="BIZ UDPゴシック"/>
          <w:b/>
          <w:bCs/>
          <w:color w:val="FFFFFF" w:themeColor="background1"/>
          <w:sz w:val="52"/>
          <w:szCs w:val="52"/>
        </w:rPr>
        <w:t xml:space="preserve">第二回　策定委員会資料</w:t>
      </w:r>
    </w:p>
    <w:p w14:paraId="22A2C860" w14:textId="77777777" w:rsidR="003F1968" w:rsidRPr="00AF4EBE" w:rsidRDefault="003F1968" w:rsidP="009B1D8E">
      <w:pPr>
        <w:shd w:val="clear" w:color="205C56" w:fill="auto"/>
        <w:spacing w:after="160"/>
        <w:jc w:val="center"/>
        <w:rPr>
          <w:rFonts w:ascii="BIZ UDPゴシック" w:eastAsia="BIZ UDPゴシック" w:hAnsi="BIZ UDPゴシック"/>
          <w:color w:val="FFFFFF" w:themeColor="background1"/>
        </w:rPr>
      </w:pPr>
    </w:p>
    <w:p w14:paraId="59EDDBF2" w14:textId="77777777" w:rsidR="003F1968" w:rsidRPr="00AF4EBE" w:rsidRDefault="00000000" w:rsidP="00AF4EBE">
      <w:pPr>
        <w:spacing w:after="40"/>
        <w:jc w:val="center"/>
        <w:rPr>
          <w:rFonts w:ascii="BIZ UDPゴシック" w:eastAsia="BIZ UDPゴシック" w:hAnsi="BIZ UDPゴシック"/>
          <w:color w:val="000000" w:themeColor="text1"/>
        </w:rPr>
      </w:pPr>
      <w:r>
        <w:rPr>
          <w:rFonts w:ascii="BIZ UDPゴシック" w:eastAsia="BIZ UDPゴシック" w:hAnsi="BIZ UDPゴシック"/>
          <w:color w:val="000000" w:themeColor="text1"/>
          <w:sz w:val="22"/>
          <w:szCs w:val="22"/>
        </w:rPr>
        <w:t xml:space="preserve">計画骨子（案）とご選択いただきたい事項</w:t>
      </w:r>
    </w:p>
    <w:p w14:paraId="151BC149" w14:textId="77777777" w:rsidR="003E53EF" w:rsidRDefault="003E53EF" w:rsidP="00AF4EBE">
      <w:pPr>
        <w:spacing w:after="20"/>
        <w:jc w:val="center"/>
        <w:rPr>
          <w:rFonts w:ascii="BIZ UDPゴシック" w:eastAsia="BIZ UDPゴシック" w:hAnsi="BIZ UDPゴシック"/>
          <w:b/>
          <w:bCs/>
          <w:color w:val="000000" w:themeColor="text1"/>
          <w:sz w:val="28"/>
          <w:szCs w:val="28"/>
        </w:rPr>
      </w:pPr>
    </w:p>
    <w:p w14:paraId="64D2D659" w14:textId="77777777" w:rsidR="003F1968" w:rsidRPr="00AF4EBE" w:rsidRDefault="00000000" w:rsidP="00AF4EBE">
      <w:pPr>
        <w:spacing w:after="20"/>
        <w:jc w:val="center"/>
        <w:rPr>
          <w:rFonts w:ascii="BIZ UDPゴシック" w:eastAsia="BIZ UDPゴシック" w:hAnsi="BIZ UDPゴシック"/>
          <w:color w:val="000000" w:themeColor="text1"/>
          <w:sz w:val="28"/>
          <w:szCs w:val="28"/>
        </w:rPr>
      </w:pPr>
      <w:r>
        <w:rPr>
          <w:rFonts w:ascii="BIZ UDPゴシック" w:eastAsia="BIZ UDPゴシック" w:hAnsi="BIZ UDPゴシック"/>
          <w:b/>
          <w:bCs/>
          <w:color w:val="000000" w:themeColor="text1"/>
          <w:sz w:val="28"/>
          <w:szCs w:val="28"/>
        </w:rPr>
        <w:t xml:space="preserve">令和8年11月　日（　）</w:t>
      </w:r>
      <w:r>
        <w:rPr>
          <w:rFonts w:ascii="BIZ UDPゴシック" w:eastAsia="BIZ UDPゴシック" w:hAnsi="BIZ UDPゴシック" w:hint="eastAsia"/>
          <w:b/>
          <w:bCs/>
          <w:color w:val="000000" w:themeColor="text1"/>
          <w:sz w:val="28"/>
          <w:szCs w:val="28"/>
        </w:rPr>
        <w:t/>
      </w:r>
      <w:r>
        <w:rPr>
          <w:rFonts w:ascii="BIZ UDPゴシック" w:eastAsia="BIZ UDPゴシック" w:hAnsi="BIZ UDPゴシック"/>
          <w:b/>
          <w:bCs/>
          <w:color w:val="000000" w:themeColor="text1"/>
          <w:sz w:val="28"/>
          <w:szCs w:val="28"/>
        </w:rPr>
        <w:t/>
      </w:r>
      <w:r>
        <w:rPr>
          <w:rFonts w:ascii="BIZ UDPゴシック" w:eastAsia="BIZ UDPゴシック" w:hAnsi="BIZ UDPゴシック" w:hint="eastAsia"/>
          <w:b/>
          <w:bCs/>
          <w:color w:val="000000" w:themeColor="text1"/>
          <w:sz w:val="28"/>
          <w:szCs w:val="28"/>
        </w:rPr>
        <w:t/>
      </w:r>
      <w:r>
        <w:rPr>
          <w:rFonts w:ascii="BIZ UDPゴシック" w:eastAsia="BIZ UDPゴシック" w:hAnsi="BIZ UDPゴシック"/>
          <w:b/>
          <w:bCs/>
          <w:color w:val="000000" w:themeColor="text1"/>
          <w:sz w:val="28"/>
          <w:szCs w:val="28"/>
        </w:rPr>
        <w:t/>
      </w:r>
      <w:r>
        <w:rPr>
          <w:rFonts w:ascii="BIZ UDPゴシック" w:eastAsia="BIZ UDPゴシック" w:hAnsi="BIZ UDPゴシック" w:hint="eastAsia"/>
          <w:b/>
          <w:bCs/>
          <w:color w:val="000000" w:themeColor="text1"/>
          <w:sz w:val="28"/>
          <w:szCs w:val="28"/>
        </w:rPr>
        <w:t/>
      </w:r>
    </w:p>
    <w:p w14:paraId="07760374" w14:textId="77777777" w:rsidR="00AF4EBE" w:rsidRDefault="00AF4EBE" w:rsidP="00AF4EBE">
      <w:pPr>
        <w:spacing w:after="300"/>
        <w:jc w:val="center"/>
        <w:rPr>
          <w:rFonts w:ascii="BIZ UDPゴシック" w:eastAsia="BIZ UDPゴシック" w:hAnsi="BIZ UDPゴシック"/>
          <w:color w:val="000000" w:themeColor="text1"/>
          <w:sz w:val="19"/>
          <w:szCs w:val="19"/>
        </w:rPr>
      </w:pPr>
    </w:p>
    <w:p w14:paraId="556F3AED" w14:textId="77777777" w:rsidR="003F1968" w:rsidRPr="00AF4EBE" w:rsidRDefault="00000000" w:rsidP="00AF4EBE">
      <w:pPr>
        <w:spacing w:after="300"/>
        <w:jc w:val="center"/>
        <w:rPr>
          <w:rFonts w:ascii="BIZ UDPゴシック" w:eastAsia="BIZ UDPゴシック" w:hAnsi="BIZ UDPゴシック"/>
          <w:color w:val="000000" w:themeColor="text1"/>
        </w:rPr>
      </w:pPr>
      <w:r>
        <w:rPr>
          <w:rFonts w:ascii="BIZ UDPゴシック" w:eastAsia="BIZ UDPゴシック" w:hAnsi="BIZ UDPゴシック"/>
          <w:color w:val="000000" w:themeColor="text1"/>
          <w:sz w:val="19"/>
          <w:szCs w:val="19"/>
        </w:rPr>
        <w:t xml:space="preserve">川崎町　保健福祉課（介護保険事業計画・高齢者保健福祉計画策定委員会　事務局）</w:t>
      </w:r>
    </w:p>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 xml:space="preserve">１．本日の内容（次第）</w:t>
      </w:r>
      <w:r>
        <w:rPr>
          <w:rFonts w:ascii="BIZ UDPゴシック" w:eastAsia="BIZ UDPゴシック" w:hAnsi="BIZ UDPゴシック"/>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①　第１回でいただいたご意見と訂正事項</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②　追加調査の結果－介護人材とサービス提供体制</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③　第１０期の重点課題（５本）</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④　ご選択いただきたい事項（５件）</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⑤　介護保険料の見通し</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⑥　計画骨子（案）と今後の予定</w:t>
      </w:r>
      <w:r>
        <w:rPr>
          <w:rFonts w:ascii="BIZ UDPゴシック" w:eastAsia="BIZ UDPゴシック" w:hAnsi="BIZ UDPゴシック"/>
          <w:sz w:val="22"/>
          <w:szCs w:val="22"/>
        </w:rPr>
        <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xml:space="preserve">本日は、分析のご報告ではなく、第１０期計画の方向を「選択」していただくことが中心です。④の５件について、各選択肢の右端の欄に○をお付けください。</w:t>
            </w:r>
          </w:p>
        </w:tc>
      </w:tr>
    </w:tbl>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 xml:space="preserve">２．第１回でいただいたご意見と訂正事項</w:t>
      </w:r>
      <w:r>
        <w:rPr>
          <w:rFonts w:ascii="BIZ UDPゴシック" w:eastAsia="BIZ UDPゴシック" w:hAnsi="BIZ UDPゴシック"/>
        </w:rPr>
        <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訂正事項（４件）</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第１回策定委員会でご説明した内容のうち、次の４件を訂正いたします。誤った前提のままご議論いただくことのないよう、冒頭でお示しします。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164"/>
        <w:gridCol w:w="2328"/>
        <w:gridCol w:w="3298"/>
        <w:gridCol w:w="2911"/>
      </w:tblGrid>
      <w:tr w:rsidR="003F1968" w:rsidRPr="00AF4EBE" w14:paraId="45AF0491" w14:textId="77777777" w:rsidTr="00AF4EBE">
        <w:trPr>
          <w:cantSplit/>
          <w:tblHeader/>
        </w:trPr>
        <w:tc>
          <w:tcPr>
            <w:tcW w:w="1164"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区　分</w:t>
            </w:r>
          </w:p>
        </w:tc>
        <w:tc>
          <w:tcPr>
            <w:tcW w:w="2328"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第１回のご説明</w:t>
            </w:r>
          </w:p>
        </w:tc>
        <w:tc>
          <w:tcPr>
            <w:tcW w:w="3298"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正しい内容</w:t>
            </w:r>
          </w:p>
        </w:tc>
        <w:tc>
          <w:tcPr>
            <w:tcW w:w="291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影　響</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在宅介護実態調査</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施設入居の申込み済みが約半数</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申込み済み33.8％／検討している14.4％／計48.2％（n=139）</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施設・居住系サービスの見込量に直結。過大に伝わると整備量の議論が歪む</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在宅介護実態調査</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単身世帯の申込み率 約86.1％</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申込み済み69.4％／検討を含めて86.1％（n=36）</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同上</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介護保険料</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県内で高い方から９番目</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川崎町より高い団体が９市町村。川崎町は第10〜12位（村田町・丸森町と同額）</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水準の位置づけの認識</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介護保険料</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月額6,508円と6,500円が混在</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算定表上の基準額が6,508円／第５段階の月額が6,500円（年78,000円÷12）</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以降は初出時に注記して統一</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第１回でいただいた主なご意見と本資料での扱い</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358"/>
        <w:gridCol w:w="5238"/>
        <w:gridCol w:w="3105"/>
      </w:tblGrid>
      <w:tr w:rsidR="003F1968" w14:paraId="0EF3265D" w14:textId="77777777" w:rsidTr="00AF4EBE">
        <w:trPr>
          <w:cantSplit/>
          <w:tblHeader/>
        </w:trPr>
        <w:tc>
          <w:tcPr>
            <w:tcW w:w="1358" w:type="dxa"/>
            <w:shd w:val="clear" w:color="auto" w:fill="1F5C56"/>
            <w:tcMar>
              <w:top w:w="90" w:type="dxa"/>
              <w:left w:w="110" w:type="dxa"/>
              <w:bottom w:w="90" w:type="dxa"/>
              <w:right w:w="110" w:type="dxa"/>
            </w:tcMar>
            <w:vAlign w:val="center"/>
          </w:tcPr>
          <w:p w14:paraId="74C4FE6B"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ご意見</w:t>
            </w:r>
          </w:p>
        </w:tc>
        <w:tc>
          <w:tcPr>
            <w:tcW w:w="5238" w:type="dxa"/>
            <w:shd w:val="clear" w:color="auto" w:fill="1F5C56"/>
            <w:tcMar>
              <w:top w:w="90" w:type="dxa"/>
              <w:left w:w="110" w:type="dxa"/>
              <w:bottom w:w="90" w:type="dxa"/>
              <w:right w:w="110" w:type="dxa"/>
            </w:tcMar>
            <w:vAlign w:val="center"/>
          </w:tcPr>
          <w:p w14:paraId="44613CD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内　容</w:t>
            </w:r>
          </w:p>
        </w:tc>
        <w:tc>
          <w:tcPr>
            <w:tcW w:w="3105" w:type="dxa"/>
            <w:shd w:val="clear" w:color="auto" w:fill="1F5C56"/>
            <w:tcMar>
              <w:top w:w="90" w:type="dxa"/>
              <w:left w:w="110" w:type="dxa"/>
              <w:bottom w:w="90" w:type="dxa"/>
              <w:right w:w="110" w:type="dxa"/>
            </w:tcMar>
            <w:vAlign w:val="center"/>
          </w:tcPr>
          <w:p w14:paraId="6168DD00"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本資料での扱い</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介護人材</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職員の退職により前年度に１ユニット分の人員を削減。今後７月に職員数が50名となる見込み</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３（追加調査）・選択４</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介護人材</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人材紹介に１件約100万円の紹介料が生じ、運転資金を圧迫</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３・選択４</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介護人材</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配置基準が厳しくなる一方、機能訓練指導員・看護師・ケアマネジャーの確保が困難</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３・選択４</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訪問介護</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町内で登録21名に対し実働４名。広大な地域で移動負担が大きい</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３・選択３</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在宅サービス</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入所施設からの在宅復帰希望者に対し、訪問看護等の体制が不十分</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３・選択３</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人材育成</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行政からの呼びかけによる地域内での介護人材育成・資格取得の促進。中学・高校段階からの働きかけ</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選択４</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地域密着型</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地域密着型サービスの認知向上と利用促進が必要</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選択３</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基本理念</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現行理念は町の長期総合計画の基本理念の一つであり継承が適当（事務局）</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選択１</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国の動向</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介護報酬の前倒し見直し・赤字事業者への補助に関する情報提供の要望</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５（保険料の見通し）</w:t>
            </w:r>
          </w:p>
        </w:tc>
      </w:tr>
    </w:tbl>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 xml:space="preserve">３．追加調査の結果－介護人材とサービス提供体制</w:t>
      </w:r>
      <w:r>
        <w:rPr>
          <w:rFonts w:ascii="BIZ UDPゴシック" w:eastAsia="BIZ UDPゴシック" w:hAnsi="BIZ UDPゴシック"/>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第１回で最も議論が集中した論点です。第１０期計画では、サービス提供体制の維持を新たな重点課題として位置付けることを提案します。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事業所ヒアリングの結果</w:t>
      </w:r>
      <w:r>
        <w:rPr>
          <w:rFonts w:ascii="BIZ UDPゴシック" w:eastAsia="BIZ UDPゴシック" w:hAnsi="BIZ UDPゴシック"/>
          <w:b/>
          <w:bCs/>
          <w:sz w:val="23"/>
          <w:szCs w:val="23"/>
        </w:rPr>
        <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xml:space="preserve">事業所ヒアリングの結果は、実施後に本欄に記載します。町内の入所・居住系事業所、訪問介護・通所介護事業所、居宅介護支援事業所を対象に、定員と稼働、職員数の見通し、受入れ制限の有無と理由、第１０期に増減の予定があるか、必要な支援を聴取します。</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第９期の給付費が平坦だった理由の再解釈</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3492"/>
        <w:gridCol w:w="3104"/>
        <w:gridCol w:w="3105"/>
      </w:tblGrid>
      <w:tr w:rsidR="003F1968" w14:paraId="0EF3265D" w14:textId="77777777" w:rsidTr="00AF4EBE">
        <w:trPr>
          <w:cantSplit/>
          <w:tblHeader/>
        </w:trPr>
        <w:tc>
          <w:tcPr>
            <w:tcW w:w="3492" w:type="dxa"/>
            <w:shd w:val="clear" w:color="auto" w:fill="1F5C56"/>
            <w:tcMar>
              <w:top w:w="90" w:type="dxa"/>
              <w:left w:w="110" w:type="dxa"/>
              <w:bottom w:w="90" w:type="dxa"/>
              <w:right w:w="110" w:type="dxa"/>
            </w:tcMar>
            <w:vAlign w:val="center"/>
          </w:tcPr>
          <w:p w14:paraId="74C4FE6B"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年　度</w:t>
            </w:r>
          </w:p>
        </w:tc>
        <w:tc>
          <w:tcPr>
            <w:tcW w:w="3104" w:type="dxa"/>
            <w:shd w:val="clear" w:color="auto" w:fill="1F5C56"/>
            <w:tcMar>
              <w:top w:w="90" w:type="dxa"/>
              <w:left w:w="110" w:type="dxa"/>
              <w:bottom w:w="90" w:type="dxa"/>
              <w:right w:w="110" w:type="dxa"/>
            </w:tcMar>
            <w:vAlign w:val="center"/>
          </w:tcPr>
          <w:p w14:paraId="44613CD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標準給付費</w:t>
            </w:r>
          </w:p>
        </w:tc>
        <w:tc>
          <w:tcPr>
            <w:tcW w:w="3105" w:type="dxa"/>
            <w:shd w:val="clear" w:color="auto" w:fill="1F5C56"/>
            <w:tcMar>
              <w:top w:w="90" w:type="dxa"/>
              <w:left w:w="110" w:type="dxa"/>
              <w:bottom w:w="90" w:type="dxa"/>
              <w:right w:w="110" w:type="dxa"/>
            </w:tcMar>
            <w:vAlign w:val="center"/>
          </w:tcPr>
          <w:p w14:paraId="6168DD00"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前年比</w:t>
            </w:r>
          </w:p>
        </w:tc>
      </w:tr>
      <w:tr w:rsidR="003F1968" w14:paraId="4DBFCB91" w14:textId="77777777" w:rsidTr="00AF4EBE">
        <w:trPr>
          <w:cantSplit/>
        </w:trPr>
        <w:tc>
          <w:tcPr>
            <w:tcW w:w="3492"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令和６年度（実績）</w:t>
            </w:r>
          </w:p>
        </w:tc>
        <w:tc>
          <w:tcPr>
            <w:tcW w:w="3104"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1,093,253千円</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w:t>
            </w:r>
          </w:p>
        </w:tc>
      </w:tr>
      <w:tr w:rsidR="003F1968" w14:paraId="4DBFCB91" w14:textId="77777777" w:rsidTr="00AF4EBE">
        <w:trPr>
          <w:cantSplit/>
        </w:trPr>
        <w:tc>
          <w:tcPr>
            <w:tcW w:w="3492"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令和７年度（見込）</w:t>
            </w:r>
          </w:p>
        </w:tc>
        <w:tc>
          <w:tcPr>
            <w:tcW w:w="3104"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1,085,203千円</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▲0.7％</w:t>
            </w:r>
          </w:p>
        </w:tc>
      </w:tr>
      <w:tr w:rsidR="003F1968" w14:paraId="4DBFCB91" w14:textId="77777777" w:rsidTr="00AF4EBE">
        <w:trPr>
          <w:cantSplit/>
        </w:trPr>
        <w:tc>
          <w:tcPr>
            <w:tcW w:w="3492"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令和８年度（見込）</w:t>
            </w:r>
          </w:p>
        </w:tc>
        <w:tc>
          <w:tcPr>
            <w:tcW w:w="3104"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1,106,907千円</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＋2.0％</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資料：町提供実績データ（令和8年9月1日受領）。令和7年度は見込、令和8年度は当初・見込であり確定値ではありません。</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これまで、給付費が伸びない理由が介護予防の成果によるものか、サービス提供体制の制約によるものかを判別できずにいました。第１回でいただいたご意見は、供給側の制約であることを強く示唆していま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xml:space="preserve">給付費が伸びないことは、保険料の上昇圧力が弱いという点では好ましく見えます。しかし、必要な方がサービスを受けられていない結果であるならば、それは計画の目的に照らして望ましい状態ではありません。</w:t>
            </w:r>
          </w:p>
        </w:tc>
      </w:tr>
    </w:tbl>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 xml:space="preserve">４．第１０期の重点課題（５本）</w:t>
      </w:r>
      <w:r>
        <w:rPr>
          <w:rFonts w:ascii="BIZ UDPゴシック" w:eastAsia="BIZ UDPゴシック" w:hAnsi="BIZ UDPゴシック"/>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第１回では分野別に５分野・課題11本をお示ししましたが、第１０期で何を重点とするのかが一目で分かるよう、５本に集約しました。</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582"/>
        <w:gridCol w:w="1940"/>
        <w:gridCol w:w="4074"/>
        <w:gridCol w:w="3105"/>
      </w:tblGrid>
      <w:tr w:rsidR="003F1968" w:rsidRPr="00AF4EBE" w14:paraId="45AF0491" w14:textId="77777777" w:rsidTr="00AF4EBE">
        <w:trPr>
          <w:cantSplit/>
          <w:tblHeader/>
        </w:trPr>
        <w:tc>
          <w:tcPr>
            <w:tcW w:w="582"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優先</w:t>
            </w:r>
          </w:p>
        </w:tc>
        <w:tc>
          <w:tcPr>
            <w:tcW w:w="194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重点課題</w:t>
            </w:r>
          </w:p>
        </w:tc>
        <w:tc>
          <w:tcPr>
            <w:tcW w:w="4074"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根拠となる事実</w:t>
            </w:r>
          </w:p>
        </w:tc>
        <w:tc>
          <w:tcPr>
            <w:tcW w:w="3105"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接続する施策</w:t>
            </w:r>
          </w:p>
        </w:tc>
      </w:tr>
      <w:tr w:rsidR="003F1968" w:rsidRPr="00AF4EBE" w14:paraId="3CEE157D" w14:textId="77777777" w:rsidTr="00AF4EBE">
        <w:trPr>
          <w:cantSplit/>
        </w:trPr>
        <w:tc>
          <w:tcPr>
            <w:tcW w:w="58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１</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サービス提供体制の維持</w:t>
            </w:r>
          </w:p>
        </w:tc>
        <w:tc>
          <w:tcPr>
            <w:tcW w:w="4074"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１ユニット分の人員削減、職員80名→50名の見込み、訪問介護の実働４名、給付費の平坦化（▲0.7％）</w:t>
            </w:r>
          </w:p>
        </w:tc>
        <w:tc>
          <w:tcPr>
            <w:tcW w:w="3105"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見込量確保の方策、介護人材の確保、事業所支援</w:t>
            </w:r>
          </w:p>
        </w:tc>
      </w:tr>
      <w:tr w:rsidR="003F1968" w:rsidRPr="00AF4EBE" w14:paraId="3CEE157D" w14:textId="77777777" w:rsidTr="00AF4EBE">
        <w:trPr>
          <w:cantSplit/>
        </w:trPr>
        <w:tc>
          <w:tcPr>
            <w:tcW w:w="58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２</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家族介護者が不在の在宅高齢者</w:t>
            </w:r>
          </w:p>
        </w:tc>
        <w:tc>
          <w:tcPr>
            <w:tcW w:w="4074"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家族介護なし45.8％、うち56.9％が施設申込み済み、家族介護もサービスもない世帯50件（36.2％）</w:t>
            </w:r>
          </w:p>
        </w:tc>
        <w:tc>
          <w:tcPr>
            <w:tcW w:w="3105"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生活支援、見守り、緊急時の受入れ、ケアマネジメント</w:t>
            </w:r>
          </w:p>
        </w:tc>
      </w:tr>
      <w:tr w:rsidR="003F1968" w:rsidRPr="00AF4EBE" w14:paraId="3CEE157D" w14:textId="77777777" w:rsidTr="00AF4EBE">
        <w:trPr>
          <w:cantSplit/>
        </w:trPr>
        <w:tc>
          <w:tcPr>
            <w:tcW w:w="58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３</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85歳以上の増加と重度化</w:t>
            </w:r>
          </w:p>
        </w:tc>
        <w:tc>
          <w:tcPr>
            <w:tcW w:w="4074"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85歳以上の認定率58.67％、75歳以上1,742人（令和7年度末）、要介護１・２の重度化が全国1,580位</w:t>
            </w:r>
          </w:p>
        </w:tc>
        <w:tc>
          <w:tcPr>
            <w:tcW w:w="3105"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介護予防、リハビリテーション、重度化予防</w:t>
            </w:r>
          </w:p>
        </w:tc>
      </w:tr>
      <w:tr w:rsidR="003F1968" w:rsidRPr="00AF4EBE" w14:paraId="3CEE157D" w14:textId="77777777" w:rsidTr="00AF4EBE">
        <w:trPr>
          <w:cantSplit/>
        </w:trPr>
        <w:tc>
          <w:tcPr>
            <w:tcW w:w="58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４</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移動・外出と社会参加</w:t>
            </w:r>
          </w:p>
        </w:tc>
        <w:tc>
          <w:tcPr>
            <w:tcW w:w="4074"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自動車74.1％／路線バス5.4％、外出控え19.1％、参加意欲55.2％に対し企画・運営41.4％</w:t>
            </w:r>
          </w:p>
        </w:tc>
        <w:tc>
          <w:tcPr>
            <w:tcW w:w="3105"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移動支援３制度、通いの場、担い手の発掘</w:t>
            </w:r>
          </w:p>
        </w:tc>
      </w:tr>
      <w:tr w:rsidR="003F1968" w:rsidRPr="00AF4EBE" w14:paraId="3CEE157D" w14:textId="77777777" w:rsidTr="00AF4EBE">
        <w:trPr>
          <w:cantSplit/>
        </w:trPr>
        <w:tc>
          <w:tcPr>
            <w:tcW w:w="58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５</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相談が届いていない・認知症</w:t>
            </w:r>
          </w:p>
        </w:tc>
        <w:tc>
          <w:tcPr>
            <w:tcW w:w="4074"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相談相手なし38.8％（世帯構成による差なし）、認知症相談窓口の認知47.7％（物忘れ自覚層は42.7％）</w:t>
            </w:r>
          </w:p>
        </w:tc>
        <w:tc>
          <w:tcPr>
            <w:tcW w:w="3105"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相談体制、アウトリーチ、認知症施策</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xml:space="preserve">優先度１「サービス提供体制の維持」は第９期計画にはなかった課題です。第１回でいただいたご意見によって浮かび上がったものです。</w:t>
            </w:r>
          </w:p>
        </w:tc>
      </w:tr>
    </w:tbl>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 xml:space="preserve">５．ご選択いただきたい事項（５件）</w:t>
      </w:r>
      <w:r>
        <w:rPr>
          <w:rFonts w:ascii="BIZ UDPゴシック" w:eastAsia="BIZ UDPゴシック" w:hAnsi="BIZ UDPゴシック"/>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５つの選択は、それぞれ独立していません。介護人材が確保できなければ入所・居住系の整備量は実現せず、整備量を縮小するなら在宅の受け皿が要ります。その帰結が保険料に表れます。相互の関係を踏まえてご検討ください。</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 xml:space="preserve">選択４（介護人材）　→　選択２（入所・居住系の整備量）　⇔　選択３（在宅供給の確保）　→　給付費　→　選択５（基金の取崩水準）　→　保険料</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選択１　計画の基本理念と体系</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第９期の基本理念は「誰もが健やかに暮らせるまちづくり」です。第１回で事務局から、この理念は町の最上位計画である「第６次川崎町長期総合計画」がまちづくりの基本方針の一つに掲げる「子供も大人も誰もが健やかに暮らせるまちづくり（可わさき）」に由来するため、このまま継承することが適当ではないかとの見解が示されました。一方、認知症基本法（令和６年１月施行）第14条は、市町村認知症施策推進計画の策定を努力義務としてい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776"/>
        <w:gridCol w:w="5044"/>
        <w:gridCol w:w="2522"/>
        <w:gridCol w:w="1359"/>
      </w:tblGrid>
      <w:tr w:rsidR="003F1968" w:rsidRPr="00AF4EBE" w14:paraId="45AF0491" w14:textId="77777777" w:rsidTr="00AF4EBE">
        <w:trPr>
          <w:cantSplit/>
          <w:tblHeader/>
        </w:trPr>
        <w:tc>
          <w:tcPr>
            <w:tcW w:w="776"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選択肢</w:t>
            </w:r>
          </w:p>
        </w:tc>
        <w:tc>
          <w:tcPr>
            <w:tcW w:w="5044"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内　容</w:t>
            </w:r>
          </w:p>
        </w:tc>
        <w:tc>
          <w:tcPr>
            <w:tcW w:w="252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保険料への影響</w:t>
            </w:r>
          </w:p>
        </w:tc>
        <w:tc>
          <w:tcPr>
            <w:tcW w:w="135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ご選択</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Ａ</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第９期を全面的に継承する（理念＋基本方針５本）</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なし</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Ｂ</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理念は継承し、認知症施策を独立した章として立てる</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なし</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Ｃ</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理念にサブタイトルを付す</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なし</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リスク：Ａのみでは認知症基本法への対応が体系上見えにくくなります。Ｃは理念を長期総合計画と共有している以上、サブタイトルの付加が総合計画との関係で問題ないかの確認が必要です。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 xml:space="preserve">事務局案：Ｂ　理念は継承し、認知症を独立章とする</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選択２　入所・居住系サービスの整備量</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令和７年度の給付費998,222千円のうち、入所・居住系が680,226千円・68.1％を占めます。１人当たり月額は在宅の居宅サービス約8.8万円に対し入所・居住系は約29.5万円で、約3.4倍です。入所・居住系の利用者が１人増減すると、保険料基準額は月額約22円動きます。在宅の要介護者の33.8％がすでに入所を申し込んでおり、町全体に外挿すると約125〜190人規模となります（単純外挿による感度試算）。第１回では、１ユニット分の人員削減が既に行われていることが報告されました。</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776"/>
        <w:gridCol w:w="5044"/>
        <w:gridCol w:w="2522"/>
        <w:gridCol w:w="1359"/>
      </w:tblGrid>
      <w:tr w:rsidR="003F1968" w:rsidRPr="00AF4EBE" w14:paraId="45AF0491" w14:textId="77777777" w:rsidTr="00AF4EBE">
        <w:trPr>
          <w:cantSplit/>
          <w:tblHeader/>
        </w:trPr>
        <w:tc>
          <w:tcPr>
            <w:tcW w:w="776"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選択肢</w:t>
            </w:r>
          </w:p>
        </w:tc>
        <w:tc>
          <w:tcPr>
            <w:tcW w:w="5044"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内　容</w:t>
            </w:r>
          </w:p>
        </w:tc>
        <w:tc>
          <w:tcPr>
            <w:tcW w:w="252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保険料（月額）</w:t>
            </w:r>
          </w:p>
        </w:tc>
        <w:tc>
          <w:tcPr>
            <w:tcW w:w="135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ご選択</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Ａ</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現在の定員を維持する（利用者192人規模を前提）</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7,023円</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Ｂ</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人材確保の見通しを踏まえ、縮小を織り込む（▲10人）</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6,803円</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Ｃ</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増床を計画に位置付ける（＋10人）</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7,244円</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いずれも中位ケース・基金50％取崩の場合の仮試算です。第９期は6,500円。</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リスク：Ａは申込み済みの方の待機が解消せず、また人材が確保できなければＡ自体が実現しません。Ｂは保険料を抑えられますが、在宅に受け皿がなければ行き場のない方が生じます（選択３と一体）。Ｃは定員を増やしても職員が確保できなければ稼働しません（選択４と一体）。</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選択３　在宅生活を支える供給の確保</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在宅介護実態調査では、定期巡回・随時対応型訪問介護看護の利用が2.0％、小規模多機能型居宅介護4.1％、夜間対応型訪問介護と看護小規模多機能型居宅介護は０％で、在宅系の地域密着型サービスの利用がほとんど確認できません。地域密着型サービスは町が指定・監督の権限を持ち、計画で整備量を定めるサービスです。第１回では、訪問介護は登録21名に対し実働４名であり、入所からの在宅復帰に対し訪問看護等の体制が不十分であることが報告されました。</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776"/>
        <w:gridCol w:w="5044"/>
        <w:gridCol w:w="2522"/>
        <w:gridCol w:w="1359"/>
      </w:tblGrid>
      <w:tr w:rsidR="003F1968" w:rsidRPr="00AF4EBE" w14:paraId="45AF0491" w14:textId="77777777" w:rsidTr="00AF4EBE">
        <w:trPr>
          <w:cantSplit/>
          <w:tblHeader/>
        </w:trPr>
        <w:tc>
          <w:tcPr>
            <w:tcW w:w="776"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選択肢</w:t>
            </w:r>
          </w:p>
        </w:tc>
        <w:tc>
          <w:tcPr>
            <w:tcW w:w="5044"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内　容</w:t>
            </w:r>
          </w:p>
        </w:tc>
        <w:tc>
          <w:tcPr>
            <w:tcW w:w="252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保険料（月額）</w:t>
            </w:r>
          </w:p>
        </w:tc>
        <w:tc>
          <w:tcPr>
            <w:tcW w:w="135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ご選択</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Ａ</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既存サービス（訪問介護・通所介護）の維持を最優先とし、新規整備はしない</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7,023円（変化なし）</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Ｂ</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在宅系の地域密着型サービス（定期巡回・小規模多機能等）の整備を計画に位置付ける</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＋約150円（利用10人の場合）</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Ｃ</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総合事業の住民主体サービス（訪問型Ｂ・通所型Ｂ）で補完する</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ほぼ影響なし</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Ｂの＋約150円は、１人当たり給付費を年2,400千円と仮置きし10人が利用した場合の試算です。既存サービスからの振替分を控除していないため上限に近い値です。</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リスク：Ａは、選択２でＢ（縮小）を選んだ場合に受け皿がなくなります。Ｂは参入する事業者がなければ計画倒れになります。Ｃは費用を抑えられますが、担い手の確保が課題です（参加意欲55.2％に対し企画・運営の意欲41.4％）。</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選択４　介護人材の確保に町がどこまで関与するか</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第１回で複数の委員から、行政からの呼びかけによる地域内での介護人材育成・資格取得の促進が提起され、中学・高校段階からの働きかけを求めるご意見もありました。国は、都道府県主体で介護人材確保・生産性向上・経営改善支援のプラットフォームを構築する方向を示してい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776"/>
        <w:gridCol w:w="5044"/>
        <w:gridCol w:w="2522"/>
        <w:gridCol w:w="1359"/>
      </w:tblGrid>
      <w:tr w:rsidR="003F1968" w:rsidRPr="00AF4EBE" w14:paraId="45AF0491" w14:textId="77777777" w:rsidTr="00AF4EBE">
        <w:trPr>
          <w:cantSplit/>
          <w:tblHeader/>
        </w:trPr>
        <w:tc>
          <w:tcPr>
            <w:tcW w:w="776"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選択肢</w:t>
            </w:r>
          </w:p>
        </w:tc>
        <w:tc>
          <w:tcPr>
            <w:tcW w:w="5044"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内　容</w:t>
            </w:r>
          </w:p>
        </w:tc>
        <w:tc>
          <w:tcPr>
            <w:tcW w:w="252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財　源</w:t>
            </w:r>
          </w:p>
        </w:tc>
        <w:tc>
          <w:tcPr>
            <w:tcW w:w="135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ご選択</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Ａ</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情報提供・広報にとどめる（現状）</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Ｂ</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資格取得の支援（研修費補助・修学資金等）を町単独事業として実施する</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町の一般財源</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Ｃ</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Ｂに加え、住宅支援・外国人材の受入支援・宮城県のプラットフォームへの接続等を包括的に実施する</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町の一般財源＋県事業</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xml:space="preserve">介護人材の確保に係る町単独事業は、原則として介護保険の地域支援事業の対象外であり、第１号保険料では賄えません。町の一般財源による負担となります。したがって選択４は保険料には影響しませんが、町の財政負担が生じます。</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リスク：Ａは、供給体制の維持（重点課題１）に対する町の施策が計画上、空欄になります。Ｂ・Ｃは町の財政負担が生じるため、町長部局・財政担当との調整が必要です。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選択５　保険料と介護給付費準備基金の組合せ（方向性のみ）</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介護給付費準備基金の残高は、令和７年度末148,100千円、令和８年度末の見込みで152,500千円です。第９期計画は基金131,700千円の約半分を取り崩して6,500円としましたが、実際の取崩額は全年度０であり、基金は積み上がっています。この152,500千円は、保険料に換算すると月額約1,359円分に相当し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776"/>
        <w:gridCol w:w="5044"/>
        <w:gridCol w:w="2522"/>
        <w:gridCol w:w="1359"/>
      </w:tblGrid>
      <w:tr w:rsidR="003F1968" w:rsidRPr="00AF4EBE" w14:paraId="45AF0491" w14:textId="77777777" w:rsidTr="00AF4EBE">
        <w:trPr>
          <w:cantSplit/>
          <w:tblHeader/>
        </w:trPr>
        <w:tc>
          <w:tcPr>
            <w:tcW w:w="776"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選択肢</w:t>
            </w:r>
          </w:p>
        </w:tc>
        <w:tc>
          <w:tcPr>
            <w:tcW w:w="5044"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内　容</w:t>
            </w:r>
          </w:p>
        </w:tc>
        <w:tc>
          <w:tcPr>
            <w:tcW w:w="252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月額（第９期比）</w:t>
            </w:r>
          </w:p>
        </w:tc>
        <w:tc>
          <w:tcPr>
            <w:tcW w:w="135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ご選択</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Ａ</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基金を取り崩さない（残り152,500千円）</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7,703円（＋18.5％）</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Ｂ</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基金の50％を取り崩す（残り76,250千円）</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7,023円（＋8.0％）</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Ｃ</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基金を全額取り崩す（残り０円）</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6,344円（▲2.4％）</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中位ケース（給付費の自然増＋1.5％／年、令和9年度の報酬改定＋1.5％）による仮試算です。国の標準では報酬改定率を1.0000（改定なし）で仮置きするため、改定がない場合はＢで6,766円となります。</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リスク：Ａは第11期に基金を残せますが、住民負担が18.5％増となります。Ｃは第９期を下回る水準にできますが、第11期が基金０の状態で始まります。国は基金残高の概ね半分以下を取崩水準として示していま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 xml:space="preserve">事務局案：Ｂ　第９期と同じ考え方で、基金の約半分を取り崩す</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xml:space="preserve">選択５は本日は方向性のみお伺いし、第３回策定委員会（令和９年１月）で決定します。</w:t>
            </w:r>
          </w:p>
        </w:tc>
      </w:tr>
    </w:tbl>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 xml:space="preserve">６．介護保険料の見通し</w:t>
      </w:r>
      <w:r>
        <w:rPr>
          <w:rFonts w:ascii="BIZ UDPゴシック" w:eastAsia="BIZ UDPゴシック" w:hAnsi="BIZ UDPゴシック"/>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第１０期の保険料基準額は、給付費の伸び、地域支援事業費、調整交付金の交付率、予定収納率、そして介護給付費準備基金の取崩額によって決まります。確定値は第３回策定委員会でお示しします。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第１０期の試算（仮試算）</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4171"/>
        <w:gridCol w:w="1843"/>
        <w:gridCol w:w="1843"/>
        <w:gridCol w:w="1844"/>
      </w:tblGrid>
      <w:tr w:rsidR="003F1968" w:rsidRPr="00AF4EBE" w14:paraId="45AF0491" w14:textId="77777777" w:rsidTr="00AF4EBE">
        <w:trPr>
          <w:cantSplit/>
          <w:tblHeader/>
        </w:trPr>
        <w:tc>
          <w:tcPr>
            <w:tcW w:w="4171"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ケース</w:t>
            </w:r>
          </w:p>
        </w:tc>
        <w:tc>
          <w:tcPr>
            <w:tcW w:w="1843"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Ａ 取崩なし</w:t>
            </w:r>
          </w:p>
        </w:tc>
        <w:tc>
          <w:tcPr>
            <w:tcW w:w="1843"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Ｂ 50％取崩</w:t>
            </w:r>
          </w:p>
        </w:tc>
        <w:tc>
          <w:tcPr>
            <w:tcW w:w="1844"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Ｃ 全額取崩</w:t>
            </w:r>
          </w:p>
        </w:tc>
      </w:tr>
      <w:tr w:rsidR="003F1968" w:rsidRPr="00AF4EBE" w14:paraId="3CEE157D" w14:textId="77777777" w:rsidTr="00AF4EBE">
        <w:trPr>
          <w:cantSplit/>
        </w:trPr>
        <w:tc>
          <w:tcPr>
            <w:tcW w:w="4171"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低位（自然増＋0.5％／年・報酬改定なし）</w:t>
            </w:r>
          </w:p>
        </w:tc>
        <w:tc>
          <w:tcPr>
            <w:tcW w:w="1843"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7,446円</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6,766円</w:t>
            </w:r>
          </w:p>
        </w:tc>
        <w:tc>
          <w:tcPr>
            <w:tcW w:w="1844"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6,087円</w:t>
            </w:r>
          </w:p>
        </w:tc>
      </w:tr>
      <w:tr w:rsidR="003F1968" w:rsidRPr="00AF4EBE" w14:paraId="3CEE157D" w14:textId="77777777" w:rsidTr="00AF4EBE">
        <w:trPr>
          <w:cantSplit/>
        </w:trPr>
        <w:tc>
          <w:tcPr>
            <w:tcW w:w="4171"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中位（自然増＋1.5％／年・報酬改定＋1.5％）</w:t>
            </w:r>
          </w:p>
        </w:tc>
        <w:tc>
          <w:tcPr>
            <w:tcW w:w="1843"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7,703円</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7,023円</w:t>
            </w:r>
          </w:p>
        </w:tc>
        <w:tc>
          <w:tcPr>
            <w:tcW w:w="1844"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6,344円</w:t>
            </w:r>
          </w:p>
        </w:tc>
      </w:tr>
      <w:tr w:rsidR="003F1968" w:rsidRPr="00AF4EBE" w14:paraId="3CEE157D" w14:textId="77777777" w:rsidTr="00AF4EBE">
        <w:trPr>
          <w:cantSplit/>
        </w:trPr>
        <w:tc>
          <w:tcPr>
            <w:tcW w:w="4171"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高位（自然増＋2.5％／年・報酬改定＋2.5％）</w:t>
            </w:r>
          </w:p>
        </w:tc>
        <w:tc>
          <w:tcPr>
            <w:tcW w:w="1843"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7,928円</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7,249円</w:t>
            </w:r>
          </w:p>
        </w:tc>
        <w:tc>
          <w:tcPr>
            <w:tcW w:w="1844"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6,569円</w:t>
            </w:r>
          </w:p>
        </w:tc>
      </w:tr>
      <w:tr w:rsidR="003F1968" w:rsidRPr="00AF4EBE" w14:paraId="3CEE157D" w14:textId="77777777" w:rsidTr="00AF4EBE">
        <w:trPr>
          <w:cantSplit/>
        </w:trPr>
        <w:tc>
          <w:tcPr>
            <w:tcW w:w="4171"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（参考）第９期</w:t>
            </w:r>
          </w:p>
        </w:tc>
        <w:tc>
          <w:tcPr>
            <w:tcW w:w="1843"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7,072円</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6,500円</w:t>
            </w:r>
          </w:p>
        </w:tc>
        <w:tc>
          <w:tcPr>
            <w:tcW w:w="1844"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算定式は、地域包括ケア「見える化」システムの推計ツールが用いる式と同一です。第９期の公表値（年額78,000円・月額6,500円）を再現できることを確認しています。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保険料を動かす要因（中位・50％取崩の7,023円を基準）</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6402"/>
        <w:gridCol w:w="3299"/>
      </w:tblGrid>
      <w:tr w:rsidR="003F1968" w:rsidRPr="00AF4EBE" w14:paraId="3CFE7315" w14:textId="77777777" w:rsidTr="00AF4EBE">
        <w:trPr>
          <w:cantSplit/>
          <w:tblHeader/>
        </w:trPr>
        <w:tc>
          <w:tcPr>
            <w:tcW w:w="6402"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要　因</w:t>
            </w:r>
          </w:p>
        </w:tc>
        <w:tc>
          <w:tcPr>
            <w:tcW w:w="3299"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影　響</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調整交付金の見込率が5.0％だった場合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▲402円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予定収納率を96.7％（直近実績）とした場合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▲51円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入所・居住系の利用者が１人増えた場合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＋22円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同 10人増えた場合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＋220円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補正後被保険者数が３％少ない場合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＋217円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第１号被保険者負担割合が24％となった場合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＋約322円</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xml:space="preserve">最も大きな変動要因は調整交付金の見込率です。第９期計画は3.9％としていますが、川崎町は後期高齢者割合が高く所得水準が低いため、算定上は5％を上回るのが自然です。実際の交付実績の確認をお願いしています。</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確定していない事項</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5626"/>
        <w:gridCol w:w="4075"/>
      </w:tblGrid>
      <w:tr w:rsidR="003F1968" w:rsidRPr="00AF4EBE" w14:paraId="3CFE7315" w14:textId="77777777" w:rsidTr="00AF4EBE">
        <w:trPr>
          <w:cantSplit/>
          <w:tblHeader/>
        </w:trPr>
        <w:tc>
          <w:tcPr>
            <w:tcW w:w="5626"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事　項</w:t>
            </w:r>
          </w:p>
        </w:tc>
        <w:tc>
          <w:tcPr>
            <w:tcW w:w="4075"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確定の時期</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国民健康保険団体連合会の給付実績によるサービス見込量</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令和8年11月中の入手が必要</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所得段階別の第１号被保険者数</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町にご確認をお願い中</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調整交付金の交付実績</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同上</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令和９年度の介護報酬改定の内容</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国の決定による</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第10期の第１号被保険者負担割合（23％か24％か）</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国の政令による</w:t>
            </w:r>
          </w:p>
        </w:tc>
      </w:tr>
    </w:tbl>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 xml:space="preserve">７．計画骨子（案）と今後の予定</w:t>
      </w:r>
      <w:r>
        <w:rPr>
          <w:rFonts w:ascii="BIZ UDPゴシック" w:eastAsia="BIZ UDPゴシック" w:hAnsi="BIZ UDPゴシック"/>
        </w:rPr>
        <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計画骨子（案）の章構成</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164"/>
        <w:gridCol w:w="4462"/>
        <w:gridCol w:w="4075"/>
      </w:tblGrid>
      <w:tr w:rsidR="003F1968" w14:paraId="0EF3265D" w14:textId="77777777" w:rsidTr="00AF4EBE">
        <w:trPr>
          <w:cantSplit/>
          <w:tblHeader/>
        </w:trPr>
        <w:tc>
          <w:tcPr>
            <w:tcW w:w="1164" w:type="dxa"/>
            <w:shd w:val="clear" w:color="auto" w:fill="1F5C56"/>
            <w:tcMar>
              <w:top w:w="90" w:type="dxa"/>
              <w:left w:w="110" w:type="dxa"/>
              <w:bottom w:w="90" w:type="dxa"/>
              <w:right w:w="110" w:type="dxa"/>
            </w:tcMar>
            <w:vAlign w:val="center"/>
          </w:tcPr>
          <w:p w14:paraId="74C4FE6B"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章</w:t>
            </w:r>
          </w:p>
        </w:tc>
        <w:tc>
          <w:tcPr>
            <w:tcW w:w="4462" w:type="dxa"/>
            <w:shd w:val="clear" w:color="auto" w:fill="1F5C56"/>
            <w:tcMar>
              <w:top w:w="90" w:type="dxa"/>
              <w:left w:w="110" w:type="dxa"/>
              <w:bottom w:w="90" w:type="dxa"/>
              <w:right w:w="110" w:type="dxa"/>
            </w:tcMar>
            <w:vAlign w:val="center"/>
          </w:tcPr>
          <w:p w14:paraId="44613CD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内　容</w:t>
            </w:r>
          </w:p>
        </w:tc>
        <w:tc>
          <w:tcPr>
            <w:tcW w:w="4075" w:type="dxa"/>
            <w:shd w:val="clear" w:color="auto" w:fill="1F5C56"/>
            <w:tcMar>
              <w:top w:w="90" w:type="dxa"/>
              <w:left w:w="110" w:type="dxa"/>
              <w:bottom w:w="90" w:type="dxa"/>
              <w:right w:w="110" w:type="dxa"/>
            </w:tcMar>
            <w:vAlign w:val="center"/>
          </w:tcPr>
          <w:p w14:paraId="6168DD00"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第９期からの変更</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第１章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計画の策定にあたって</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長期総合計画との関係を明記</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第２章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高齢者を取り巻く現状</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サービス供給体制の状況を新設</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第３章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第９期計画の評価と第１０期の課題</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重点課題を５本に集約</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第４章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計画の基本理念・基本方針</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第９期を継承</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第５章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施策の展開</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家族介護者への支援を新設</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第６章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認知症施策の推進</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新設（認知症基本法第14条）</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第７章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サービス提供体制と介護人材の確保</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新設（第１回のご意見）</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第８章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地域マネジメントの推進</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独立章化</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第９章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介護給付費・第１０期保険料</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第10章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計画の推進と進行管理</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KPI管理表を新設</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第９期計画の施策・事業（約110施策）を全数点検し、継続・拡充・再編・新規・廃止の別を整理しました。新たに加える施策は28件、廃止・移設は４件です。タクシー利用助成事業は令和７年３月に終了済みであり、介護療養型医療施設は令和５年度末に制度廃止となっているため、第１０期では記載しません。</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KPI管理表（第10章に新設）</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第９期の評価指標は、集計担当・集計方法・集計頻度・出典が定められておらず、実績を確認できていない指標があります。保険者機能強化推進交付金の評価でも、令和８年度は「評価結果の活用」が令和７年度の満点16点から０点となりました。第１０期では、各指標に次の項目を必ず付し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910"/>
        <w:gridCol w:w="6791"/>
      </w:tblGrid>
      <w:tr w:rsidR="003F1968" w:rsidRPr="00AF4EBE" w14:paraId="3CFE7315" w14:textId="77777777" w:rsidTr="00AF4EBE">
        <w:trPr>
          <w:cantSplit/>
          <w:tblHeader/>
        </w:trPr>
        <w:tc>
          <w:tcPr>
            <w:tcW w:w="2910"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項　目</w:t>
            </w:r>
          </w:p>
        </w:tc>
        <w:tc>
          <w:tcPr>
            <w:tcW w:w="6791"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内　容</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指標名</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第９期から継続か新規かを明示</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区分</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成果指標／活動指標／体制指標</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現状値</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令和７年度又は令和８年度。出典を固定</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目標値</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令和11年度</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集計担当</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保健福祉課、地域包括支援センター、社会福祉協議会 等</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集計方法・頻度</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年１回（委員会前）、決算後 等</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未把握の場合の対応</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記録様式を整備する年度を明記</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今後の予定</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579"/>
        <w:gridCol w:w="7122"/>
      </w:tblGrid>
      <w:tr w:rsidR="003F1968" w:rsidRPr="00AF4EBE" w14:paraId="3CFE7315" w14:textId="77777777" w:rsidTr="00AF4EBE">
        <w:trPr>
          <w:cantSplit/>
          <w:tblHeader/>
        </w:trPr>
        <w:tc>
          <w:tcPr>
            <w:tcW w:w="2400"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時　期</w:t>
            </w:r>
          </w:p>
        </w:tc>
        <w:tc>
          <w:tcPr>
            <w:tcW w:w="6626"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内　容</w:t>
            </w:r>
          </w:p>
        </w:tc>
      </w:tr>
      <w:tr w:rsidR="003F1968" w:rsidRPr="00AF4EBE" w14:paraId="6A757351" w14:textId="77777777" w:rsidTr="00AF4EBE">
        <w:trPr>
          <w:cantSplit/>
        </w:trPr>
        <w:tc>
          <w:tcPr>
            <w:tcW w:w="2400"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令和８年11月【本日】</w:t>
            </w:r>
          </w:p>
        </w:tc>
        <w:tc>
          <w:tcPr>
            <w:tcW w:w="6626"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第２回：計画骨子（案）とご選択いただきたい事項</w:t>
            </w:r>
          </w:p>
        </w:tc>
      </w:tr>
      <w:tr w:rsidR="003F1968" w:rsidRPr="00AF4EBE" w14:paraId="6A757351" w14:textId="77777777" w:rsidTr="00AF4EBE">
        <w:trPr>
          <w:cantSplit/>
        </w:trPr>
        <w:tc>
          <w:tcPr>
            <w:tcW w:w="2400"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令和８年12月〜令和９年１月</w:t>
            </w:r>
          </w:p>
        </w:tc>
        <w:tc>
          <w:tcPr>
            <w:tcW w:w="6626"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サービス見込量・保険料試算の精緻化</w:t>
            </w:r>
          </w:p>
        </w:tc>
      </w:tr>
      <w:tr w:rsidR="003F1968" w:rsidRPr="00AF4EBE" w14:paraId="6A757351" w14:textId="77777777" w:rsidTr="00AF4EBE">
        <w:trPr>
          <w:cantSplit/>
        </w:trPr>
        <w:tc>
          <w:tcPr>
            <w:tcW w:w="2400"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令和９年１月</w:t>
            </w:r>
          </w:p>
        </w:tc>
        <w:tc>
          <w:tcPr>
            <w:tcW w:w="6626"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第３回：素案の提示、保険料基準額の決定、答申の内容の確定</w:t>
            </w:r>
          </w:p>
        </w:tc>
      </w:tr>
      <w:tr w:rsidR="003F1968" w:rsidRPr="00AF4EBE" w14:paraId="6A757351" w14:textId="77777777" w:rsidTr="00AF4EBE">
        <w:trPr>
          <w:cantSplit/>
        </w:trPr>
        <w:tc>
          <w:tcPr>
            <w:tcW w:w="2400"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令和９年１〜２月</w:t>
            </w:r>
          </w:p>
        </w:tc>
        <w:tc>
          <w:tcPr>
            <w:tcW w:w="6626"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パブリックコメントの実施</w:t>
            </w:r>
          </w:p>
        </w:tc>
      </w:tr>
      <w:tr w:rsidR="003F1968" w:rsidRPr="00AF4EBE" w14:paraId="6A757351" w14:textId="77777777" w:rsidTr="00AF4EBE">
        <w:trPr>
          <w:cantSplit/>
        </w:trPr>
        <w:tc>
          <w:tcPr>
            <w:tcW w:w="2400"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令和９年３月</w:t>
            </w:r>
          </w:p>
        </w:tc>
        <w:tc>
          <w:tcPr>
            <w:tcW w:w="6626"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町議会（定例会）への報告</w:t>
            </w:r>
          </w:p>
        </w:tc>
      </w:tr>
      <w:tr w:rsidR="003F1968" w:rsidRPr="00AF4EBE" w14:paraId="6A757351" w14:textId="77777777" w:rsidTr="00AF4EBE">
        <w:trPr>
          <w:cantSplit/>
        </w:trPr>
        <w:tc>
          <w:tcPr>
            <w:tcW w:w="2400"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令和９年４月</w:t>
            </w:r>
          </w:p>
        </w:tc>
        <w:tc>
          <w:tcPr>
            <w:tcW w:w="6626"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第１０期計画　スタート</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xml:space="preserve">策定委員会は３回構成であり、第３回で答申の内容を確定します。サービス見込量と保険料を第３回までに固める必要があるため、国民健康保険団体連合会の給付実績が令和８年11月中に入手できない場合、令和６〜７年度の給付実績に基づかない見込量で答申することになります。この点を日程上のリスクとしてご承知おきください。</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本日のご審議事項</w:t>
      </w:r>
      <w:r>
        <w:rPr>
          <w:rFonts w:ascii="BIZ UDPゴシック" w:eastAsia="BIZ UDPゴシック" w:hAnsi="BIZ UDPゴシック"/>
          <w:b/>
          <w:bCs/>
          <w:sz w:val="23"/>
          <w:szCs w:val="23"/>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①　訂正事項４件のご確認</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②　第１０期の重点課題（５本）に追加すべき視点の有無</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③　ご選択いただきたい事項５件のご選択</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④　計画骨子（案）の章構成のご確認</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⑤　事業所ヒアリングの実施についてのご意見</w:t>
      </w:r>
      <w:r>
        <w:rPr>
          <w:rFonts w:ascii="BIZ UDPゴシック" w:eastAsia="BIZ UDPゴシック" w:hAnsi="BIZ UDPゴシック"/>
          <w:sz w:val="22"/>
          <w:szCs w:val="22"/>
        </w:rPr>
        <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 xml:space="preserve">次回開催予定：　第３回　策定委員会　－　令和９年１月頃（素案の提示・保険料基準額の決定・答申の内容の確定）</w:t>
            </w:r>
          </w:p>
        </w:tc>
      </w:tr>
    </w:tbl>
    <w:sectPr w:rsidR="002C7015" w:rsidRPr="009B1D8E" w:rsidSect="00AF4EBE">
      <w:footerReference w:type="default" r:id="rId12"/>
      <w:headerReference w:type="default" r:id="rId15"/>
      <w:headerReference w:type="first" r:id="rId16"/>
      <w:footerReference w:type="first" r:id="rId17"/>
      <w:headerReference w:type="even" r:id="rId18"/>
      <w:footerReference w:type="even" r:id="rId19"/>
      <w:pgSz w:w="11907" w:h="16840"/>
      <w:pgMar w:top="1080" w:right="1080" w:bottom="1080" w:left="1080" w:header="708" w:footer="708"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8A08C" w14:textId="77777777" w:rsidR="00DA0D35" w:rsidRDefault="00DA0D35">
      <w:r>
        <w:separator/>
      </w:r>
    </w:p>
  </w:endnote>
  <w:endnote w:type="continuationSeparator" w:id="0">
    <w:p w14:paraId="7929F087" w14:textId="77777777" w:rsidR="00DA0D35" w:rsidRDefault="00DA0D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メイリオ">
    <w:panose1 w:val="020B0604030504040204"/>
    <w:charset w:val="80"/>
    <w:family w:val="modern"/>
    <w:pitch w:val="variable"/>
    <w:sig w:usb0="E00002FF" w:usb1="6AC7FFFF"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BIZ UDPゴシック">
    <w:panose1 w:val="020B0400000000000000"/>
    <w:charset w:val="80"/>
    <w:family w:val="modern"/>
    <w:pitch w:val="variable"/>
    <w:sig w:usb0="E00002F7" w:usb1="2AC7EDF8" w:usb2="00000012" w:usb3="00000000" w:csb0="00020001"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0DBCD" w14:textId="77777777" w:rsidR="003F1968" w:rsidRDefault="00000000">
    <w:pPr>
      <w:jc w:val="center"/>
    </w:pPr>
    <w:r>
      <w:rPr>
        <w:color w:val="8FA39D"/>
        <w:sz w:val="17"/>
        <w:szCs w:val="17"/>
      </w:rPr>
      <w:t xml:space="preserve">- </w:t>
    </w:r>
    <w:r>
      <w:rPr>
        <w:color w:val="8FA39D"/>
        <w:sz w:val="17"/>
        <w:szCs w:val="17"/>
      </w:rPr>
      <w:fldChar w:fldCharType="begin"/>
    </w:r>
    <w:r>
      <w:rPr>
        <w:color w:val="8FA39D"/>
        <w:sz w:val="17"/>
        <w:szCs w:val="17"/>
      </w:rPr>
      <w:instrText>PAGE</w:instrText>
    </w:r>
    <w:r>
      <w:rPr>
        <w:color w:val="8FA39D"/>
        <w:sz w:val="17"/>
        <w:szCs w:val="17"/>
      </w:rPr>
      <w:fldChar w:fldCharType="separate"/>
    </w:r>
    <w:r w:rsidR="00AF4EBE">
      <w:rPr>
        <w:noProof/>
        <w:color w:val="8FA39D"/>
        <w:sz w:val="17"/>
        <w:szCs w:val="17"/>
      </w:rPr>
      <w:t>1</w:t>
    </w:r>
    <w:r>
      <w:rPr>
        <w:color w:val="8FA39D"/>
        <w:sz w:val="17"/>
        <w:szCs w:val="17"/>
      </w:rPr>
      <w:fldChar w:fldCharType="end"/>
    </w:r>
    <w:r>
      <w:rPr>
        <w:color w:val="8FA39D"/>
        <w:sz w:val="17"/>
        <w:szCs w:val="17"/>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60787" w14:textId="77777777" w:rsidR="00DA0D35" w:rsidRDefault="00DA0D35">
      <w:r>
        <w:separator/>
      </w:r>
    </w:p>
  </w:footnote>
  <w:footnote w:type="continuationSeparator" w:id="0">
    <w:p w14:paraId="578850A1" w14:textId="77777777" w:rsidR="00DA0D35" w:rsidRDefault="00DA0D35">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6A6DC0"/>
    <w:multiLevelType w:val="hybridMultilevel"/>
    <w:tmpl w:val="39C0F500"/>
    <w:lvl w:ilvl="0" w:tplc="A9AA6F44">
      <w:start w:val="1"/>
      <w:numFmt w:val="bullet"/>
      <w:lvlText w:val="●"/>
      <w:lvlJc w:val="left"/>
      <w:pPr>
        <w:ind w:left="720" w:hanging="360"/>
      </w:pPr>
    </w:lvl>
    <w:lvl w:ilvl="1" w:tplc="16949FDA">
      <w:start w:val="1"/>
      <w:numFmt w:val="bullet"/>
      <w:lvlText w:val="○"/>
      <w:lvlJc w:val="left"/>
      <w:pPr>
        <w:ind w:left="1440" w:hanging="360"/>
      </w:pPr>
    </w:lvl>
    <w:lvl w:ilvl="2" w:tplc="FC70176C">
      <w:start w:val="1"/>
      <w:numFmt w:val="bullet"/>
      <w:lvlText w:val="■"/>
      <w:lvlJc w:val="left"/>
      <w:pPr>
        <w:ind w:left="2160" w:hanging="360"/>
      </w:pPr>
    </w:lvl>
    <w:lvl w:ilvl="3" w:tplc="F1D07D3A">
      <w:start w:val="1"/>
      <w:numFmt w:val="bullet"/>
      <w:lvlText w:val="●"/>
      <w:lvlJc w:val="left"/>
      <w:pPr>
        <w:ind w:left="2880" w:hanging="360"/>
      </w:pPr>
    </w:lvl>
    <w:lvl w:ilvl="4" w:tplc="AA805FAA">
      <w:start w:val="1"/>
      <w:numFmt w:val="bullet"/>
      <w:lvlText w:val="○"/>
      <w:lvlJc w:val="left"/>
      <w:pPr>
        <w:ind w:left="3600" w:hanging="360"/>
      </w:pPr>
    </w:lvl>
    <w:lvl w:ilvl="5" w:tplc="9C0E575E">
      <w:start w:val="1"/>
      <w:numFmt w:val="bullet"/>
      <w:lvlText w:val="■"/>
      <w:lvlJc w:val="left"/>
      <w:pPr>
        <w:ind w:left="4320" w:hanging="360"/>
      </w:pPr>
    </w:lvl>
    <w:lvl w:ilvl="6" w:tplc="21BA44D0">
      <w:start w:val="1"/>
      <w:numFmt w:val="bullet"/>
      <w:lvlText w:val="●"/>
      <w:lvlJc w:val="left"/>
      <w:pPr>
        <w:ind w:left="5040" w:hanging="360"/>
      </w:pPr>
    </w:lvl>
    <w:lvl w:ilvl="7" w:tplc="5B7878AA">
      <w:start w:val="1"/>
      <w:numFmt w:val="bullet"/>
      <w:lvlText w:val="●"/>
      <w:lvlJc w:val="left"/>
      <w:pPr>
        <w:ind w:left="5760" w:hanging="360"/>
      </w:pPr>
    </w:lvl>
    <w:lvl w:ilvl="8" w:tplc="87F66C5C">
      <w:start w:val="1"/>
      <w:numFmt w:val="bullet"/>
      <w:lvlText w:val="●"/>
      <w:lvlJc w:val="left"/>
      <w:pPr>
        <w:ind w:left="6480" w:hanging="360"/>
      </w:pPr>
    </w:lvl>
  </w:abstractNum>
  <w:num w:numId="1" w16cid:durableId="1390829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dirty"/>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1968"/>
    <w:rsid w:val="002C7015"/>
    <w:rsid w:val="002D6C0A"/>
    <w:rsid w:val="003E53EF"/>
    <w:rsid w:val="003F1968"/>
    <w:rsid w:val="004B2E81"/>
    <w:rsid w:val="004D5E53"/>
    <w:rsid w:val="004E0C3E"/>
    <w:rsid w:val="00521FAB"/>
    <w:rsid w:val="00574E94"/>
    <w:rsid w:val="005954C3"/>
    <w:rsid w:val="005D0DAA"/>
    <w:rsid w:val="007A715D"/>
    <w:rsid w:val="008736CE"/>
    <w:rsid w:val="009779C3"/>
    <w:rsid w:val="009B1D8E"/>
    <w:rsid w:val="00A905A8"/>
    <w:rsid w:val="00AF4EBE"/>
    <w:rsid w:val="00CD48F5"/>
    <w:rsid w:val="00D32549"/>
    <w:rsid w:val="00D83DDF"/>
    <w:rsid w:val="00DA0D35"/>
    <w:rsid w:val="00E13D8F"/>
    <w:rsid w:val="00E21B77"/>
    <w:rsid w:val="00E54B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37E9864"/>
  <w15:docId w15:val="{784DD60A-AB7B-4761-9552-14DFE1FEA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メイリオ" w:eastAsia="メイリオ" w:hAnsi="メイリオ" w:cs="メイリオ"/>
        <w:color w:val="1E2B28"/>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00"/>
      <w:outlineLvl w:val="0"/>
    </w:pPr>
    <w:rPr>
      <w:b/>
      <w:bCs/>
      <w:sz w:val="30"/>
      <w:szCs w:val="30"/>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 w:type="paragraph" w:styleId="ac">
    <w:name w:val="header"/>
    <w:basedOn w:val="a"/>
    <w:link w:val="ad"/>
    <w:uiPriority w:val="99"/>
    <w:unhideWhenUsed/>
    <w:rsid w:val="00AF4EBE"/>
    <w:pPr>
      <w:tabs>
        <w:tab w:val="center" w:pos="4252"/>
        <w:tab w:val="right" w:pos="8504"/>
      </w:tabs>
      <w:snapToGrid w:val="0"/>
    </w:pPr>
  </w:style>
  <w:style w:type="character" w:customStyle="1" w:styleId="ad">
    <w:name w:val="ヘッダー (文字)"/>
    <w:basedOn w:val="a0"/>
    <w:link w:val="ac"/>
    <w:uiPriority w:val="99"/>
    <w:rsid w:val="00AF4EBE"/>
  </w:style>
  <w:style w:type="paragraph" w:styleId="ae">
    <w:name w:val="footer"/>
    <w:basedOn w:val="a"/>
    <w:link w:val="af"/>
    <w:uiPriority w:val="99"/>
    <w:unhideWhenUsed/>
    <w:rsid w:val="00AF4EBE"/>
    <w:pPr>
      <w:tabs>
        <w:tab w:val="center" w:pos="4252"/>
        <w:tab w:val="right" w:pos="8504"/>
      </w:tabs>
      <w:snapToGrid w:val="0"/>
    </w:pPr>
  </w:style>
  <w:style w:type="character" w:customStyle="1" w:styleId="af">
    <w:name w:val="フッター (文字)"/>
    <w:basedOn w:val="a0"/>
    <w:link w:val="ae"/>
    <w:uiPriority w:val="99"/>
    <w:rsid w:val="00AF4E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footer" Target="footer2.xml"/><Relationship Id="rId18" Type="http://schemas.openxmlformats.org/officeDocument/2006/relationships/header" Target="header3.xml"/><Relationship Id="rId19" Type="http://schemas.openxmlformats.org/officeDocument/2006/relationships/footer" Target="footer3.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5562210-ba99-4384-9cbe-4d710e47e222">
      <Terms xmlns="http://schemas.microsoft.com/office/infopath/2007/PartnerControls"/>
    </lcf76f155ced4ddcb4097134ff3c332f>
    <TaxCatchAll xmlns="34c5de3c-7b2f-41ed-951e-c3d07d90095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A845EAC2CE09544585FB76C2E147A62F" ma:contentTypeVersion="10" ma:contentTypeDescription="新しいドキュメントを作成します。" ma:contentTypeScope="" ma:versionID="062891416b88f12051934029e82749e9">
  <xsd:schema xmlns:xsd="http://www.w3.org/2001/XMLSchema" xmlns:xs="http://www.w3.org/2001/XMLSchema" xmlns:p="http://schemas.microsoft.com/office/2006/metadata/properties" xmlns:ns2="b5562210-ba99-4384-9cbe-4d710e47e222" xmlns:ns3="34c5de3c-7b2f-41ed-951e-c3d07d900951" targetNamespace="http://schemas.microsoft.com/office/2006/metadata/properties" ma:root="true" ma:fieldsID="03ee249378eaeeedc3c3ea8abcd01ba0" ns2:_="" ns3:_="">
    <xsd:import namespace="b5562210-ba99-4384-9cbe-4d710e47e222"/>
    <xsd:import namespace="34c5de3c-7b2f-41ed-951e-c3d07d900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562210-ba99-4384-9cbe-4d710e47e2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333068f1-3b94-4555-9176-42e6202dabe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34c5de3c-7b2f-41ed-951e-c3d07d900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a70edbd7-9c0f-4291-82eb-5230cd3ebddc}" ma:internalName="TaxCatchAll" ma:showField="CatchAllData" ma:web="34c5de3c-7b2f-41ed-951e-c3d07d900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E5B49C9-7564-4D6B-BF33-6E3FABDD6104}">
  <ds:schemaRefs>
    <ds:schemaRef ds:uri="http://schemas.microsoft.com/office/2006/metadata/properties"/>
    <ds:schemaRef ds:uri="http://schemas.microsoft.com/office/infopath/2007/PartnerControls"/>
    <ds:schemaRef ds:uri="b5562210-ba99-4384-9cbe-4d710e47e222"/>
    <ds:schemaRef ds:uri="34c5de3c-7b2f-41ed-951e-c3d07d900951"/>
  </ds:schemaRefs>
</ds:datastoreItem>
</file>

<file path=customXml/itemProps2.xml><?xml version="1.0" encoding="utf-8"?>
<ds:datastoreItem xmlns:ds="http://schemas.openxmlformats.org/officeDocument/2006/customXml" ds:itemID="{F86DB70C-5F78-455B-92DE-912E3B8DF5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562210-ba99-4384-9cbe-4d710e47e222"/>
    <ds:schemaRef ds:uri="34c5de3c-7b2f-41ed-951e-c3d07d900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7D32400-827B-4827-BEC0-2739F01C3BD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9</Pages>
  <Words>830</Words>
  <Characters>4735</Characters>
  <Application>Microsoft Office Word</Application>
  <DocSecurity>0</DocSecurity>
  <Lines>39</Lines>
  <Paragraphs>11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直也 髙橋</cp:lastModifiedBy>
  <cp:revision>6</cp:revision>
  <dcterms:created xsi:type="dcterms:W3CDTF">2026-08-25T04:53:00Z</dcterms:created>
  <dcterms:modified xsi:type="dcterms:W3CDTF">2026-08-27T22:33:00Z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0x010100A845EAC2CE09544585FB76C2E147A62F</vt:lpwstr>
  </property>
</Properties>
</file>