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66件になりました。一度にお送りするとご負担が大きく、お急ぎでないものに引きずられて急ぐものの回答が遅れます。このため、回答がいつ必要かによって５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５通の構成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9件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9件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20件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18件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5件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委員会に出す資料に直に要るもの（9件）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サービスの見込量を確定するために要るもの（9件）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２項第２号にもございますが、本計画が見込むのは障害者総合支援法による事業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高齢者福祉の施策との接続（20件）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第5章7（4）の村単独事業の記述を数値で裏づける。通院の負担は移動支援の論点（M-45・M-46）にもつながる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対象に含まれることが分かったため、次は実績である。M-55と同じ便で尋ねる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既にある施策の実績（18件）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会津北部４町村及び県との広域整合（5件）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