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受託者が現時点までに終えている業務は、次の5件です。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・将来推計の第3段階（給付費・保険料）の暫定算定。第9期の算定を再現すると公表値6,428円と一致する</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992"/>
            <w:vAlign w:val="center"/>
            <w:shd w:val="clear" w:color="auto" w:fill="1F3864"/>
          </w:tcPr>
          <w:p>
            <w:pPr>
              <w:spacing w:after="0"/>
              <w:jc w:val="center"/>
            </w:pPr>
            <w:r>
              <w:rPr>
                <w:rFonts w:ascii="游ゴシック" w:hAnsi="游ゴシック" w:eastAsia="游ゴシック"/>
                <w:b/>
                <w:color w:val="FFFFFF"/>
                <w:sz w:val="19"/>
              </w:rPr>
              <w:t>作業</w:t>
            </w:r>
          </w:p>
        </w:tc>
        <w:tc>
          <w:tcPr>
            <w:tcW w:type="dxa" w:w="4765"/>
            <w:vAlign w:val="center"/>
            <w:shd w:val="clear" w:color="auto" w:fill="1F3864"/>
          </w:tcPr>
          <w:p>
            <w:pPr>
              <w:spacing w:after="0"/>
              <w:jc w:val="center"/>
            </w:pPr>
            <w:r>
              <w:rPr>
                <w:rFonts w:ascii="游ゴシック" w:hAnsi="游ゴシック" w:eastAsia="游ゴシック"/>
                <w:b/>
                <w:color w:val="FFFFFF"/>
                <w:sz w:val="19"/>
              </w:rPr>
              <w:t>前提となる資料・ご決定</w:t>
            </w:r>
          </w:p>
        </w:tc>
        <w:tc>
          <w:tcPr>
            <w:tcW w:type="dxa" w:w="1995"/>
            <w:vAlign w:val="center"/>
            <w:shd w:val="clear" w:color="auto" w:fill="1F3864"/>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vAlign w:val="center"/>
            <w:shd w:val="clear" w:color="auto" w:fill="F2F5FA"/>
          </w:tcPr>
          <w:p>
            <w:pPr>
              <w:spacing w:after="0"/>
            </w:pPr>
            <w:r>
              <w:rPr>
                <w:rFonts w:ascii="游ゴシック" w:hAnsi="游ゴシック" w:eastAsia="游ゴシック"/>
                <w:b/>
                <w:sz w:val="19"/>
              </w:rPr>
              <w:t>将来推計 第3段階</w:t>
              <w:br/>
              <w:t>（給付費・保険料の算定）</w:t>
            </w:r>
          </w:p>
        </w:tc>
        <w:tc>
          <w:tcPr>
            <w:tcW w:type="dxa" w:w="4765"/>
            <w:vAlign w:val="center"/>
            <w:shd w:val="clear" w:color="auto" w:fill="F2F5FA"/>
          </w:tcPr>
          <w:p>
            <w:pPr>
              <w:spacing w:after="0"/>
            </w:pPr>
            <w:r>
              <w:rPr>
                <w:rFonts w:ascii="游ゴシック" w:hAnsi="游ゴシック" w:eastAsia="游ゴシック"/>
                <w:b w:val="0"/>
                <w:sz w:val="19"/>
              </w:rPr>
              <w:t>暫定の算定は令和8年8月31日に実施済み（基本ケース月額6,740円）。確定には、決定1（人口推計の基礎）及び決定2（認定率のシナリオ）のご決定、令和7年度末の基金残高、国の政令改正の告示を要する</w:t>
            </w:r>
          </w:p>
        </w:tc>
        <w:tc>
          <w:tcPr>
            <w:tcW w:type="dxa" w:w="1995"/>
            <w:vAlign w:val="center"/>
            <w:shd w:val="clear" w:color="auto" w:fill="F2F5FA"/>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あわせて、次の資料のご提供をお願い申し上げます。令和8年8月26日の進捗確認の打合せでご了承いただいたものです。</w:t>
      </w:r>
    </w:p>
    <w:p>
      <w:pPr>
        <w:keepNext/>
        <w:spacing w:before="160" w:after="40"/>
      </w:pPr>
      <w:r>
        <w:rPr>
          <w:rFonts w:ascii="游ゴシック" w:hAnsi="游ゴシック" w:eastAsia="游ゴシック"/>
          <w:b/>
          <w:sz w:val="20"/>
        </w:rPr>
        <w:t>表2　ご提供をお願いする資料（令和8年8月26日の打合せによる）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4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662"/>
            <w:vAlign w:val="center"/>
            <w:shd w:val="clear" w:color="auto" w:fill="1F3864"/>
          </w:tcPr>
          <w:p>
            <w:pPr>
              <w:spacing w:after="0"/>
              <w:jc w:val="center"/>
            </w:pPr>
            <w:r>
              <w:rPr>
                <w:rFonts w:ascii="游ゴシック" w:hAnsi="游ゴシック" w:eastAsia="游ゴシック"/>
                <w:b/>
                <w:color w:val="FFFFFF"/>
                <w:sz w:val="19"/>
              </w:rPr>
              <w:t>範囲</w:t>
            </w:r>
          </w:p>
        </w:tc>
        <w:tc>
          <w:tcPr>
            <w:tcW w:type="dxa" w:w="4211"/>
            <w:vAlign w:val="center"/>
            <w:shd w:val="clear" w:color="auto" w:fill="1F3864"/>
          </w:tcPr>
          <w:p>
            <w:pPr>
              <w:spacing w:after="0"/>
              <w:jc w:val="center"/>
            </w:pPr>
            <w:r>
              <w:rPr>
                <w:rFonts w:ascii="游ゴシック" w:hAnsi="游ゴシック" w:eastAsia="游ゴシック"/>
                <w:b/>
                <w:color w:val="FFFFFF"/>
                <w:sz w:val="19"/>
              </w:rPr>
              <w:t>用途</w:t>
            </w:r>
          </w:p>
        </w:tc>
        <w:tc>
          <w:tcPr>
            <w:tcW w:type="dxa" w:w="1441"/>
            <w:vAlign w:val="center"/>
            <w:shd w:val="clear" w:color="auto" w:fill="1F3864"/>
          </w:tcPr>
          <w:p>
            <w:pPr>
              <w:spacing w:after="0"/>
              <w:jc w:val="center"/>
            </w:pPr>
            <w:r>
              <w:rPr>
                <w:rFonts w:ascii="游ゴシック" w:hAnsi="游ゴシック" w:eastAsia="游ゴシック"/>
                <w:b/>
                <w:color w:val="FFFFFF"/>
                <w:sz w:val="19"/>
              </w:rPr>
              <w:t>時期</w:t>
            </w:r>
          </w:p>
        </w:tc>
      </w:tr>
      <w:tr>
        <w:trPr>
          <w:cantSplit/>
        </w:trPr>
        <w:tc>
          <w:tcPr>
            <w:tcW w:type="dxa" w:w="2438"/>
            <w:vAlign w:val="center"/>
          </w:tcPr>
          <w:p>
            <w:pPr>
              <w:spacing w:after="0"/>
            </w:pPr>
            <w:r>
              <w:rPr>
                <w:rFonts w:ascii="游ゴシック" w:hAnsi="游ゴシック" w:eastAsia="游ゴシック"/>
                <w:b/>
                <w:sz w:val="19"/>
              </w:rPr>
              <w:t>介護保険事業状況報告　年報</w:t>
            </w:r>
          </w:p>
        </w:tc>
        <w:tc>
          <w:tcPr>
            <w:tcW w:type="dxa" w:w="1662"/>
            <w:vAlign w:val="center"/>
          </w:tcPr>
          <w:p>
            <w:pPr>
              <w:spacing w:after="0"/>
              <w:jc w:val="center"/>
            </w:pPr>
            <w:r>
              <w:rPr>
                <w:rFonts w:ascii="游ゴシック" w:hAnsi="游ゴシック" w:eastAsia="游ゴシック"/>
                <w:b w:val="0"/>
                <w:sz w:val="19"/>
              </w:rPr>
              <w:t>令和6年度・令和7年度</w:t>
            </w:r>
          </w:p>
        </w:tc>
        <w:tc>
          <w:tcPr>
            <w:tcW w:type="dxa" w:w="4211"/>
            <w:vAlign w:val="center"/>
          </w:tcPr>
          <w:p>
            <w:pPr>
              <w:spacing w:after="0"/>
            </w:pPr>
            <w:r>
              <w:rPr>
                <w:rFonts w:ascii="游ゴシック" w:hAnsi="游ゴシック" w:eastAsia="游ゴシック"/>
                <w:b w:val="0"/>
                <w:sz w:val="19"/>
              </w:rPr>
              <w:t>第9期の通年の確定値。見える化は年度途中で締めた値を収録しており、4月から3月までの実績が確認できません</w:t>
            </w:r>
          </w:p>
        </w:tc>
        <w:tc>
          <w:tcPr>
            <w:tcW w:type="dxa" w:w="1441"/>
            <w:vAlign w:val="center"/>
          </w:tcPr>
          <w:p>
            <w:pPr>
              <w:spacing w:after="0"/>
              <w:jc w:val="center"/>
            </w:pPr>
            <w:r>
              <w:rPr>
                <w:rFonts w:ascii="游ゴシック" w:hAnsi="游ゴシック" w:eastAsia="游ゴシック"/>
                <w:b w:val="0"/>
                <w:sz w:val="19"/>
              </w:rPr>
              <w:t>受領次第</w:t>
            </w:r>
          </w:p>
        </w:tc>
      </w:tr>
      <w:tr>
        <w:trPr>
          <w:cantSplit/>
        </w:trPr>
        <w:tc>
          <w:tcPr>
            <w:tcW w:type="dxa" w:w="2438"/>
            <w:vAlign w:val="center"/>
            <w:shd w:val="clear" w:color="auto" w:fill="F2F5FA"/>
          </w:tcPr>
          <w:p>
            <w:pPr>
              <w:spacing w:after="0"/>
            </w:pPr>
            <w:r>
              <w:rPr>
                <w:rFonts w:ascii="游ゴシック" w:hAnsi="游ゴシック" w:eastAsia="游ゴシック"/>
                <w:b/>
                <w:sz w:val="19"/>
              </w:rPr>
              <w:t>同　月報</w:t>
            </w:r>
          </w:p>
        </w:tc>
        <w:tc>
          <w:tcPr>
            <w:tcW w:type="dxa" w:w="1662"/>
            <w:vAlign w:val="center"/>
            <w:shd w:val="clear" w:color="auto" w:fill="F2F5FA"/>
          </w:tcPr>
          <w:p>
            <w:pPr>
              <w:spacing w:after="0"/>
              <w:jc w:val="center"/>
            </w:pPr>
            <w:r>
              <w:rPr>
                <w:rFonts w:ascii="游ゴシック" w:hAnsi="游ゴシック" w:eastAsia="游ゴシック"/>
                <w:b w:val="0"/>
                <w:sz w:val="19"/>
              </w:rPr>
              <w:t>令和8年4月〜7月分</w:t>
            </w:r>
          </w:p>
        </w:tc>
        <w:tc>
          <w:tcPr>
            <w:tcW w:type="dxa" w:w="4211"/>
            <w:vAlign w:val="center"/>
            <w:shd w:val="clear" w:color="auto" w:fill="F2F5FA"/>
          </w:tcPr>
          <w:p>
            <w:pPr>
              <w:spacing w:after="0"/>
            </w:pPr>
            <w:r>
              <w:rPr>
                <w:rFonts w:ascii="游ゴシック" w:hAnsi="游ゴシック" w:eastAsia="游ゴシック"/>
                <w:b w:val="0"/>
                <w:sz w:val="19"/>
              </w:rPr>
              <w:t>令和8年度は年報が出ないため、月報により各月の推移を把握します</w:t>
            </w:r>
          </w:p>
        </w:tc>
        <w:tc>
          <w:tcPr>
            <w:tcW w:type="dxa" w:w="1441"/>
            <w:vAlign w:val="center"/>
            <w:shd w:val="clear" w:color="auto" w:fill="F2F5FA"/>
          </w:tcPr>
          <w:p>
            <w:pPr>
              <w:spacing w:after="0"/>
              <w:jc w:val="center"/>
            </w:pPr>
            <w:r>
              <w:rPr>
                <w:rFonts w:ascii="游ゴシック" w:hAnsi="游ゴシック" w:eastAsia="游ゴシック"/>
                <w:b w:val="0"/>
                <w:sz w:val="19"/>
              </w:rPr>
              <w:t>受領次第</w:t>
            </w:r>
          </w:p>
        </w:tc>
      </w:tr>
      <w:tr>
        <w:trPr>
          <w:cantSplit/>
        </w:trPr>
        <w:tc>
          <w:tcPr>
            <w:tcW w:type="dxa" w:w="2438"/>
            <w:vAlign w:val="center"/>
          </w:tcPr>
          <w:p>
            <w:pPr>
              <w:spacing w:after="0"/>
            </w:pPr>
            <w:r>
              <w:rPr>
                <w:rFonts w:ascii="游ゴシック" w:hAnsi="游ゴシック" w:eastAsia="游ゴシック"/>
                <w:b/>
                <w:sz w:val="19"/>
              </w:rPr>
              <w:t>給付実績データ</w:t>
              <w:br/>
              <w:t>（サービス別の利用者数・利用日数等）</w:t>
            </w:r>
          </w:p>
        </w:tc>
        <w:tc>
          <w:tcPr>
            <w:tcW w:type="dxa" w:w="1662"/>
            <w:vAlign w:val="center"/>
          </w:tcPr>
          <w:p>
            <w:pPr>
              <w:spacing w:after="0"/>
              <w:jc w:val="center"/>
            </w:pPr>
            <w:r>
              <w:rPr>
                <w:rFonts w:ascii="游ゴシック" w:hAnsi="游ゴシック" w:eastAsia="游ゴシック"/>
                <w:b w:val="0"/>
                <w:sz w:val="19"/>
              </w:rPr>
              <w:t>令和5年度〜令和7年度</w:t>
            </w:r>
          </w:p>
        </w:tc>
        <w:tc>
          <w:tcPr>
            <w:tcW w:type="dxa" w:w="4211"/>
            <w:vAlign w:val="center"/>
          </w:tcPr>
          <w:p>
            <w:pPr>
              <w:spacing w:after="0"/>
            </w:pPr>
            <w:r>
              <w:rPr>
                <w:rFonts w:ascii="游ゴシック" w:hAnsi="游ゴシック" w:eastAsia="游ゴシック"/>
                <w:b w:val="0"/>
                <w:sz w:val="19"/>
              </w:rPr>
              <w:t>サービス見込量の推定の基礎。月当たりの平均利用者数、利用者1人当たりの利用日数・回数</w:t>
            </w:r>
          </w:p>
        </w:tc>
        <w:tc>
          <w:tcPr>
            <w:tcW w:type="dxa" w:w="1441"/>
            <w:vAlign w:val="center"/>
          </w:tcPr>
          <w:p>
            <w:pPr>
              <w:spacing w:after="0"/>
              <w:jc w:val="center"/>
            </w:pPr>
            <w:r>
              <w:rPr>
                <w:rFonts w:ascii="游ゴシック" w:hAnsi="游ゴシック" w:eastAsia="游ゴシック"/>
                <w:b w:val="0"/>
                <w:sz w:val="19"/>
              </w:rPr>
              <w:t>令和8年8月31日</w:t>
            </w:r>
          </w:p>
        </w:tc>
      </w:tr>
    </w:tbl>
    <w:p>
      <w:pPr>
        <w:ind w:left="227"/>
      </w:pPr>
      <w:r>
        <w:rPr>
          <w:rFonts w:ascii="游ゴシック" w:hAnsi="游ゴシック" w:eastAsia="游ゴシック"/>
          <w:sz w:val="18"/>
        </w:rPr>
        <w:t>※ 令和8年度の実績は本業務の期間中には確定しません。同打合せにおいて、令和8年度分は月報により推移を把握したうえで、地域包括ケア「見える化」システムによる試算（人口、高齢化率、年齢区分別の認定率等）により推定する方針でご了承をいただきました。</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表3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表4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表5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国と同じ総合事業ベースでは令和6年度3.53％で、令和2年度の1.6％から2.2倍に回復したものの、なお国の水準8％を大きく下回ります</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表6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pPr>
        <w:pStyle w:val="Heading2"/>
        <w:keepNext/>
        <w:spacing w:before="180" w:after="60"/>
      </w:pPr>
      <w:r>
        <w:rPr>
          <w:rFonts w:ascii="游ゴシック" w:hAnsi="游ゴシック" w:eastAsia="游ゴシック"/>
          <w:b/>
          <w:color w:val="000000"/>
          <w:sz w:val="22"/>
        </w:rPr>
        <w:t>3　計画値と実績値の対比</w:t>
      </w:r>
    </w:p>
    <w:p>
      <w:r>
        <w:rPr>
          <w:rFonts w:ascii="游ゴシック" w:hAnsi="游ゴシック" w:eastAsia="游ゴシック"/>
          <w:b w:val="0"/>
          <w:sz w:val="20"/>
        </w:rPr>
        <w:t>第9期計画が国へ報告した計画値と、介護保険事業状況報告による実績値との対比です。令和8年度の実績は未登録のため、令和6年度・令和7年度の2か年で判定します。</w:t>
      </w:r>
    </w:p>
    <w:p>
      <w:pPr>
        <w:keepNext/>
        <w:spacing w:before="160" w:after="40"/>
      </w:pPr>
      <w:r>
        <w:rPr>
          <w:rFonts w:ascii="游ゴシック" w:hAnsi="游ゴシック" w:eastAsia="游ゴシック"/>
          <w:b/>
          <w:sz w:val="20"/>
        </w:rPr>
        <w:t>表7　第9期 主要指標の対計画比（令和6年度・令和7年度）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R6実績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R6対計画比</w:t>
            </w:r>
          </w:p>
        </w:tc>
        <w:tc>
          <w:tcPr>
            <w:tcW w:type="dxa" w:w="1247"/>
            <w:vAlign w:val="center"/>
            <w:shd w:val="clear" w:color="auto" w:fill="1F3864"/>
          </w:tcPr>
          <w:p>
            <w:pPr>
              <w:spacing w:after="0"/>
              <w:jc w:val="center"/>
            </w:pPr>
            <w:r>
              <w:rPr>
                <w:rFonts w:ascii="游ゴシック" w:hAnsi="游ゴシック" w:eastAsia="游ゴシック"/>
                <w:b/>
                <w:color w:val="FFFFFF"/>
                <w:sz w:val="19"/>
              </w:rPr>
              <w:t>R7実績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R7対計画比</w:t>
            </w:r>
          </w:p>
        </w:tc>
        <w:tc>
          <w:tcPr>
            <w:tcW w:type="dxa" w:w="907"/>
            <w:vAlign w:val="center"/>
            <w:shd w:val="clear" w:color="auto" w:fill="1F3864"/>
          </w:tcPr>
          <w:p>
            <w:pPr>
              <w:spacing w:after="0"/>
              <w:jc w:val="center"/>
            </w:pPr>
            <w:r>
              <w:rPr>
                <w:rFonts w:ascii="游ゴシック" w:hAnsi="游ゴシック" w:eastAsia="游ゴシック"/>
                <w:b/>
                <w:color w:val="FFFFFF"/>
                <w:sz w:val="19"/>
              </w:rPr>
              <w:t>中間判定</w:t>
            </w:r>
          </w:p>
        </w:tc>
      </w:tr>
      <w:tr>
        <w:trPr>
          <w:cantSplit/>
        </w:trPr>
        <w:tc>
          <w:tcPr>
            <w:tcW w:type="dxa" w:w="1928"/>
            <w:vAlign w:val="center"/>
          </w:tcPr>
          <w:p>
            <w:pPr>
              <w:spacing w:after="0"/>
            </w:pPr>
            <w:r>
              <w:rPr>
                <w:rFonts w:ascii="游ゴシック" w:hAnsi="游ゴシック" w:eastAsia="游ゴシック"/>
                <w:b/>
                <w:sz w:val="19"/>
              </w:rPr>
              <w:t>第1号被保険者数</w:t>
            </w:r>
          </w:p>
        </w:tc>
        <w:tc>
          <w:tcPr>
            <w:tcW w:type="dxa" w:w="1247"/>
            <w:vAlign w:val="center"/>
          </w:tcPr>
          <w:p>
            <w:pPr>
              <w:spacing w:after="0"/>
            </w:pPr>
            <w:r>
              <w:rPr>
                <w:rFonts w:ascii="游ゴシック" w:hAnsi="游ゴシック" w:eastAsia="游ゴシック"/>
                <w:b w:val="0"/>
                <w:sz w:val="19"/>
              </w:rPr>
              <w:t>9,143人</w:t>
            </w:r>
          </w:p>
        </w:tc>
        <w:tc>
          <w:tcPr>
            <w:tcW w:type="dxa" w:w="1077"/>
            <w:vAlign w:val="center"/>
          </w:tcPr>
          <w:p>
            <w:pPr>
              <w:spacing w:after="0"/>
              <w:jc w:val="center"/>
            </w:pPr>
            <w:r>
              <w:rPr>
                <w:rFonts w:ascii="游ゴシック" w:hAnsi="游ゴシック" w:eastAsia="游ゴシック"/>
                <w:b w:val="0"/>
                <w:sz w:val="19"/>
              </w:rPr>
              <w:t>99.3％</w:t>
            </w:r>
          </w:p>
        </w:tc>
        <w:tc>
          <w:tcPr>
            <w:tcW w:type="dxa" w:w="1247"/>
            <w:vAlign w:val="center"/>
          </w:tcPr>
          <w:p>
            <w:pPr>
              <w:spacing w:after="0"/>
              <w:jc w:val="center"/>
            </w:pPr>
            <w:r>
              <w:rPr>
                <w:rFonts w:ascii="游ゴシック" w:hAnsi="游ゴシック" w:eastAsia="游ゴシック"/>
                <w:b w:val="0"/>
                <w:sz w:val="19"/>
              </w:rPr>
              <w:t>9,119人</w:t>
            </w:r>
          </w:p>
        </w:tc>
        <w:tc>
          <w:tcPr>
            <w:tcW w:type="dxa" w:w="1077"/>
            <w:vAlign w:val="center"/>
          </w:tcPr>
          <w:p>
            <w:pPr>
              <w:spacing w:after="0"/>
              <w:jc w:val="center"/>
            </w:pPr>
            <w:r>
              <w:rPr>
                <w:rFonts w:ascii="游ゴシック" w:hAnsi="游ゴシック" w:eastAsia="游ゴシック"/>
                <w:b w:val="0"/>
                <w:sz w:val="19"/>
              </w:rPr>
              <w:t>98.5％</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要介護認定者数</w:t>
            </w:r>
          </w:p>
        </w:tc>
        <w:tc>
          <w:tcPr>
            <w:tcW w:type="dxa" w:w="1247"/>
            <w:vAlign w:val="center"/>
            <w:shd w:val="clear" w:color="auto" w:fill="F2F5FA"/>
          </w:tcPr>
          <w:p>
            <w:pPr>
              <w:spacing w:after="0"/>
            </w:pPr>
            <w:r>
              <w:rPr>
                <w:rFonts w:ascii="游ゴシック" w:hAnsi="游ゴシック" w:eastAsia="游ゴシック"/>
                <w:b w:val="0"/>
                <w:sz w:val="19"/>
              </w:rPr>
              <w:t>1,942人</w:t>
            </w:r>
          </w:p>
        </w:tc>
        <w:tc>
          <w:tcPr>
            <w:tcW w:type="dxa" w:w="1077"/>
            <w:vAlign w:val="center"/>
            <w:shd w:val="clear" w:color="auto" w:fill="F2F5FA"/>
          </w:tcPr>
          <w:p>
            <w:pPr>
              <w:spacing w:after="0"/>
              <w:jc w:val="center"/>
            </w:pPr>
            <w:r>
              <w:rPr>
                <w:rFonts w:ascii="游ゴシック" w:hAnsi="游ゴシック" w:eastAsia="游ゴシック"/>
                <w:b w:val="0"/>
                <w:sz w:val="19"/>
              </w:rPr>
              <w:t>97.7％</w:t>
            </w:r>
          </w:p>
        </w:tc>
        <w:tc>
          <w:tcPr>
            <w:tcW w:type="dxa" w:w="1247"/>
            <w:vAlign w:val="center"/>
            <w:shd w:val="clear" w:color="auto" w:fill="F2F5FA"/>
          </w:tcPr>
          <w:p>
            <w:pPr>
              <w:spacing w:after="0"/>
              <w:jc w:val="center"/>
            </w:pPr>
            <w:r>
              <w:rPr>
                <w:rFonts w:ascii="游ゴシック" w:hAnsi="游ゴシック" w:eastAsia="游ゴシック"/>
                <w:b w:val="0"/>
                <w:sz w:val="19"/>
              </w:rPr>
              <w:t>1,943人</w:t>
            </w:r>
          </w:p>
        </w:tc>
        <w:tc>
          <w:tcPr>
            <w:tcW w:type="dxa" w:w="1077"/>
            <w:vAlign w:val="center"/>
            <w:shd w:val="clear" w:color="auto" w:fill="F2F5FA"/>
          </w:tcPr>
          <w:p>
            <w:pPr>
              <w:spacing w:after="0"/>
              <w:jc w:val="center"/>
            </w:pPr>
            <w:r>
              <w:rPr>
                <w:rFonts w:ascii="游ゴシック" w:hAnsi="游ゴシック" w:eastAsia="游ゴシック"/>
                <w:b w:val="0"/>
                <w:sz w:val="19"/>
              </w:rPr>
              <w:t>96.0％</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要介護認定率</w:t>
            </w:r>
          </w:p>
        </w:tc>
        <w:tc>
          <w:tcPr>
            <w:tcW w:type="dxa" w:w="1247"/>
            <w:vAlign w:val="center"/>
          </w:tcPr>
          <w:p>
            <w:pPr>
              <w:spacing w:after="0"/>
            </w:pPr>
            <w:r>
              <w:rPr>
                <w:rFonts w:ascii="游ゴシック" w:hAnsi="游ゴシック" w:eastAsia="游ゴシック"/>
                <w:b w:val="0"/>
                <w:sz w:val="19"/>
              </w:rPr>
              <w:t>21.24％</w:t>
            </w:r>
          </w:p>
        </w:tc>
        <w:tc>
          <w:tcPr>
            <w:tcW w:type="dxa" w:w="1077"/>
            <w:vAlign w:val="center"/>
          </w:tcPr>
          <w:p>
            <w:pPr>
              <w:spacing w:after="0"/>
              <w:jc w:val="center"/>
            </w:pPr>
            <w:r>
              <w:rPr>
                <w:rFonts w:ascii="游ゴシック" w:hAnsi="游ゴシック" w:eastAsia="游ゴシック"/>
                <w:b w:val="0"/>
                <w:sz w:val="19"/>
              </w:rPr>
              <w:t>98.4％</w:t>
            </w:r>
          </w:p>
        </w:tc>
        <w:tc>
          <w:tcPr>
            <w:tcW w:type="dxa" w:w="1247"/>
            <w:vAlign w:val="center"/>
          </w:tcPr>
          <w:p>
            <w:pPr>
              <w:spacing w:after="0"/>
              <w:jc w:val="center"/>
            </w:pPr>
            <w:r>
              <w:rPr>
                <w:rFonts w:ascii="游ゴシック" w:hAnsi="游ゴシック" w:eastAsia="游ゴシック"/>
                <w:b w:val="0"/>
                <w:sz w:val="19"/>
              </w:rPr>
              <w:t>21.31％</w:t>
            </w:r>
          </w:p>
        </w:tc>
        <w:tc>
          <w:tcPr>
            <w:tcW w:type="dxa" w:w="1077"/>
            <w:vAlign w:val="center"/>
          </w:tcPr>
          <w:p>
            <w:pPr>
              <w:spacing w:after="0"/>
              <w:jc w:val="center"/>
            </w:pPr>
            <w:r>
              <w:rPr>
                <w:rFonts w:ascii="游ゴシック" w:hAnsi="游ゴシック" w:eastAsia="游ゴシック"/>
                <w:b w:val="0"/>
                <w:sz w:val="19"/>
              </w:rPr>
              <w:t>97.4％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総給付費</w:t>
            </w:r>
          </w:p>
        </w:tc>
        <w:tc>
          <w:tcPr>
            <w:tcW w:type="dxa" w:w="1247"/>
            <w:vAlign w:val="center"/>
            <w:shd w:val="clear" w:color="auto" w:fill="F2F5FA"/>
          </w:tcPr>
          <w:p>
            <w:pPr>
              <w:spacing w:after="0"/>
            </w:pPr>
            <w:r>
              <w:rPr>
                <w:rFonts w:ascii="游ゴシック" w:hAnsi="游ゴシック" w:eastAsia="游ゴシック"/>
                <w:b w:val="0"/>
                <w:sz w:val="19"/>
              </w:rPr>
              <w:t>2,817百万円</w:t>
            </w:r>
          </w:p>
        </w:tc>
        <w:tc>
          <w:tcPr>
            <w:tcW w:type="dxa" w:w="1077"/>
            <w:vAlign w:val="center"/>
            <w:shd w:val="clear" w:color="auto" w:fill="F2F5FA"/>
          </w:tcPr>
          <w:p>
            <w:pPr>
              <w:spacing w:after="0"/>
              <w:jc w:val="center"/>
            </w:pPr>
            <w:r>
              <w:rPr>
                <w:rFonts w:ascii="游ゴシック" w:hAnsi="游ゴシック" w:eastAsia="游ゴシック"/>
                <w:b w:val="0"/>
                <w:sz w:val="19"/>
              </w:rPr>
              <w:t>96.3％</w:t>
            </w:r>
          </w:p>
        </w:tc>
        <w:tc>
          <w:tcPr>
            <w:tcW w:type="dxa" w:w="1247"/>
            <w:vAlign w:val="center"/>
            <w:shd w:val="clear" w:color="auto" w:fill="F2F5FA"/>
          </w:tcPr>
          <w:p>
            <w:pPr>
              <w:spacing w:after="0"/>
              <w:jc w:val="center"/>
            </w:pPr>
            <w:r>
              <w:rPr>
                <w:rFonts w:ascii="游ゴシック" w:hAnsi="游ゴシック" w:eastAsia="游ゴシック"/>
                <w:b w:val="0"/>
                <w:sz w:val="19"/>
              </w:rPr>
              <w:t>2,915百万円</w:t>
            </w:r>
          </w:p>
        </w:tc>
        <w:tc>
          <w:tcPr>
            <w:tcW w:type="dxa" w:w="1077"/>
            <w:vAlign w:val="center"/>
            <w:shd w:val="clear" w:color="auto" w:fill="F2F5FA"/>
          </w:tcPr>
          <w:p>
            <w:pPr>
              <w:spacing w:after="0"/>
              <w:jc w:val="center"/>
            </w:pPr>
            <w:r>
              <w:rPr>
                <w:rFonts w:ascii="游ゴシック" w:hAnsi="游ゴシック" w:eastAsia="游ゴシック"/>
                <w:b w:val="0"/>
                <w:sz w:val="19"/>
              </w:rPr>
              <w:t>97.8％</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 xml:space="preserve">　施設サービス</w:t>
            </w:r>
          </w:p>
        </w:tc>
        <w:tc>
          <w:tcPr>
            <w:tcW w:type="dxa" w:w="1247"/>
            <w:vAlign w:val="center"/>
          </w:tcPr>
          <w:p>
            <w:pPr>
              <w:spacing w:after="0"/>
            </w:pPr>
            <w:r>
              <w:rPr>
                <w:rFonts w:ascii="游ゴシック" w:hAnsi="游ゴシック" w:eastAsia="游ゴシック"/>
                <w:b w:val="0"/>
                <w:sz w:val="19"/>
              </w:rPr>
              <w:t>1,194百万円</w:t>
            </w:r>
          </w:p>
        </w:tc>
        <w:tc>
          <w:tcPr>
            <w:tcW w:type="dxa" w:w="1077"/>
            <w:vAlign w:val="center"/>
          </w:tcPr>
          <w:p>
            <w:pPr>
              <w:spacing w:after="0"/>
              <w:jc w:val="center"/>
            </w:pPr>
            <w:r>
              <w:rPr>
                <w:rFonts w:ascii="游ゴシック" w:hAnsi="游ゴシック" w:eastAsia="游ゴシック"/>
                <w:b w:val="0"/>
                <w:sz w:val="19"/>
              </w:rPr>
              <w:t>104.3％</w:t>
            </w:r>
          </w:p>
        </w:tc>
        <w:tc>
          <w:tcPr>
            <w:tcW w:type="dxa" w:w="1247"/>
            <w:vAlign w:val="center"/>
          </w:tcPr>
          <w:p>
            <w:pPr>
              <w:spacing w:after="0"/>
              <w:jc w:val="center"/>
            </w:pPr>
            <w:r>
              <w:rPr>
                <w:rFonts w:ascii="游ゴシック" w:hAnsi="游ゴシック" w:eastAsia="游ゴシック"/>
                <w:b w:val="0"/>
                <w:sz w:val="19"/>
              </w:rPr>
              <w:t>1,156百万円</w:t>
            </w:r>
          </w:p>
        </w:tc>
        <w:tc>
          <w:tcPr>
            <w:tcW w:type="dxa" w:w="1077"/>
            <w:vAlign w:val="center"/>
          </w:tcPr>
          <w:p>
            <w:pPr>
              <w:spacing w:after="0"/>
              <w:jc w:val="center"/>
            </w:pPr>
            <w:r>
              <w:rPr>
                <w:rFonts w:ascii="游ゴシック" w:hAnsi="游ゴシック" w:eastAsia="游ゴシック"/>
                <w:b w:val="0"/>
                <w:sz w:val="19"/>
              </w:rPr>
              <w:t>100.8％</w:t>
            </w:r>
          </w:p>
        </w:tc>
        <w:tc>
          <w:tcPr>
            <w:tcW w:type="dxa" w:w="907"/>
            <w:vAlign w:val="center"/>
          </w:tcPr>
          <w:p>
            <w:pPr>
              <w:spacing w:after="0"/>
              <w:jc w:val="center"/>
            </w:pPr>
            <w:r>
              <w:rPr>
                <w:rFonts w:ascii="游ゴシック" w:hAnsi="游ゴシック" w:eastAsia="游ゴシック"/>
                <w:b w:val="0"/>
                <w:sz w:val="19"/>
              </w:rPr>
              <w:t>計画超過</w:t>
            </w:r>
          </w:p>
        </w:tc>
      </w:tr>
      <w:tr>
        <w:trPr>
          <w:cantSplit/>
        </w:trPr>
        <w:tc>
          <w:tcPr>
            <w:tcW w:type="dxa" w:w="1928"/>
            <w:vAlign w:val="center"/>
            <w:shd w:val="clear" w:color="auto" w:fill="F2F5FA"/>
          </w:tcPr>
          <w:p>
            <w:pPr>
              <w:spacing w:after="0"/>
            </w:pPr>
            <w:r>
              <w:rPr>
                <w:rFonts w:ascii="游ゴシック" w:hAnsi="游ゴシック" w:eastAsia="游ゴシック"/>
                <w:b/>
                <w:sz w:val="19"/>
              </w:rPr>
              <w:t xml:space="preserve">　居住系サービス</w:t>
            </w:r>
          </w:p>
        </w:tc>
        <w:tc>
          <w:tcPr>
            <w:tcW w:type="dxa" w:w="1247"/>
            <w:vAlign w:val="center"/>
            <w:shd w:val="clear" w:color="auto" w:fill="F2F5FA"/>
          </w:tcPr>
          <w:p>
            <w:pPr>
              <w:spacing w:after="0"/>
            </w:pPr>
            <w:r>
              <w:rPr>
                <w:rFonts w:ascii="游ゴシック" w:hAnsi="游ゴシック" w:eastAsia="游ゴシック"/>
                <w:b w:val="0"/>
                <w:sz w:val="19"/>
              </w:rPr>
              <w:t>368百万円</w:t>
            </w:r>
          </w:p>
        </w:tc>
        <w:tc>
          <w:tcPr>
            <w:tcW w:type="dxa" w:w="1077"/>
            <w:vAlign w:val="center"/>
            <w:shd w:val="clear" w:color="auto" w:fill="F2F5FA"/>
          </w:tcPr>
          <w:p>
            <w:pPr>
              <w:spacing w:after="0"/>
              <w:jc w:val="center"/>
            </w:pPr>
            <w:r>
              <w:rPr>
                <w:rFonts w:ascii="游ゴシック" w:hAnsi="游ゴシック" w:eastAsia="游ゴシック"/>
                <w:b w:val="0"/>
                <w:sz w:val="19"/>
              </w:rPr>
              <w:t>83.8％</w:t>
            </w:r>
          </w:p>
        </w:tc>
        <w:tc>
          <w:tcPr>
            <w:tcW w:type="dxa" w:w="1247"/>
            <w:vAlign w:val="center"/>
            <w:shd w:val="clear" w:color="auto" w:fill="F2F5FA"/>
          </w:tcPr>
          <w:p>
            <w:pPr>
              <w:spacing w:after="0"/>
              <w:jc w:val="center"/>
            </w:pPr>
            <w:r>
              <w:rPr>
                <w:rFonts w:ascii="游ゴシック" w:hAnsi="游ゴシック" w:eastAsia="游ゴシック"/>
                <w:b w:val="0"/>
                <w:sz w:val="19"/>
              </w:rPr>
              <w:t>393百万円</w:t>
            </w:r>
          </w:p>
        </w:tc>
        <w:tc>
          <w:tcPr>
            <w:tcW w:type="dxa" w:w="1077"/>
            <w:vAlign w:val="center"/>
            <w:shd w:val="clear" w:color="auto" w:fill="F2F5FA"/>
          </w:tcPr>
          <w:p>
            <w:pPr>
              <w:spacing w:after="0"/>
              <w:jc w:val="center"/>
            </w:pPr>
            <w:r>
              <w:rPr>
                <w:rFonts w:ascii="游ゴシック" w:hAnsi="游ゴシック" w:eastAsia="游ゴシック"/>
                <w:b w:val="0"/>
                <w:sz w:val="19"/>
              </w:rPr>
              <w:t>88.3％</w:t>
            </w:r>
          </w:p>
        </w:tc>
        <w:tc>
          <w:tcPr>
            <w:tcW w:type="dxa" w:w="907"/>
            <w:vAlign w:val="center"/>
            <w:shd w:val="clear" w:color="auto" w:fill="F2F5FA"/>
          </w:tcPr>
          <w:p>
            <w:pPr>
              <w:spacing w:after="0"/>
              <w:jc w:val="center"/>
            </w:pPr>
            <w:r>
              <w:rPr>
                <w:rFonts w:ascii="游ゴシック" w:hAnsi="游ゴシック" w:eastAsia="游ゴシック"/>
                <w:b w:val="0"/>
                <w:sz w:val="19"/>
              </w:rPr>
              <w:t>計画未達</w:t>
            </w:r>
          </w:p>
        </w:tc>
      </w:tr>
      <w:tr>
        <w:trPr>
          <w:cantSplit/>
        </w:trPr>
        <w:tc>
          <w:tcPr>
            <w:tcW w:type="dxa" w:w="1928"/>
            <w:vAlign w:val="center"/>
          </w:tcPr>
          <w:p>
            <w:pPr>
              <w:spacing w:after="0"/>
            </w:pPr>
            <w:r>
              <w:rPr>
                <w:rFonts w:ascii="游ゴシック" w:hAnsi="游ゴシック" w:eastAsia="游ゴシック"/>
                <w:b/>
                <w:sz w:val="19"/>
              </w:rPr>
              <w:t xml:space="preserve">　在宅サービス</w:t>
            </w:r>
          </w:p>
        </w:tc>
        <w:tc>
          <w:tcPr>
            <w:tcW w:type="dxa" w:w="1247"/>
            <w:vAlign w:val="center"/>
          </w:tcPr>
          <w:p>
            <w:pPr>
              <w:spacing w:after="0"/>
            </w:pPr>
            <w:r>
              <w:rPr>
                <w:rFonts w:ascii="游ゴシック" w:hAnsi="游ゴシック" w:eastAsia="游ゴシック"/>
                <w:b w:val="0"/>
                <w:sz w:val="19"/>
              </w:rPr>
              <w:t>1,255百万円</w:t>
            </w:r>
          </w:p>
        </w:tc>
        <w:tc>
          <w:tcPr>
            <w:tcW w:type="dxa" w:w="1077"/>
            <w:vAlign w:val="center"/>
          </w:tcPr>
          <w:p>
            <w:pPr>
              <w:spacing w:after="0"/>
              <w:jc w:val="center"/>
            </w:pPr>
            <w:r>
              <w:rPr>
                <w:rFonts w:ascii="游ゴシック" w:hAnsi="游ゴシック" w:eastAsia="游ゴシック"/>
                <w:b w:val="0"/>
                <w:sz w:val="19"/>
              </w:rPr>
              <w:t>93.7％</w:t>
            </w:r>
          </w:p>
        </w:tc>
        <w:tc>
          <w:tcPr>
            <w:tcW w:type="dxa" w:w="1247"/>
            <w:vAlign w:val="center"/>
          </w:tcPr>
          <w:p>
            <w:pPr>
              <w:spacing w:after="0"/>
              <w:jc w:val="center"/>
            </w:pPr>
            <w:r>
              <w:rPr>
                <w:rFonts w:ascii="游ゴシック" w:hAnsi="游ゴシック" w:eastAsia="游ゴシック"/>
                <w:b w:val="0"/>
                <w:sz w:val="19"/>
              </w:rPr>
              <w:t>1,367百万円</w:t>
            </w:r>
          </w:p>
        </w:tc>
        <w:tc>
          <w:tcPr>
            <w:tcW w:type="dxa" w:w="1077"/>
            <w:vAlign w:val="center"/>
          </w:tcPr>
          <w:p>
            <w:pPr>
              <w:spacing w:after="0"/>
              <w:jc w:val="center"/>
            </w:pPr>
            <w:r>
              <w:rPr>
                <w:rFonts w:ascii="游ゴシック" w:hAnsi="游ゴシック" w:eastAsia="游ゴシック"/>
                <w:b w:val="0"/>
                <w:sz w:val="19"/>
              </w:rPr>
              <w:t>98.4％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第1号1人当たり給付費</w:t>
            </w:r>
          </w:p>
        </w:tc>
        <w:tc>
          <w:tcPr>
            <w:tcW w:type="dxa" w:w="1247"/>
            <w:vAlign w:val="center"/>
            <w:shd w:val="clear" w:color="auto" w:fill="F2F5FA"/>
          </w:tcPr>
          <w:p>
            <w:pPr>
              <w:spacing w:after="0"/>
            </w:pPr>
            <w:r>
              <w:rPr>
                <w:rFonts w:ascii="游ゴシック" w:hAnsi="游ゴシック" w:eastAsia="游ゴシック"/>
                <w:b w:val="0"/>
                <w:sz w:val="19"/>
              </w:rPr>
              <w:t>308,126円</w:t>
            </w:r>
          </w:p>
        </w:tc>
        <w:tc>
          <w:tcPr>
            <w:tcW w:type="dxa" w:w="1077"/>
            <w:vAlign w:val="center"/>
            <w:shd w:val="clear" w:color="auto" w:fill="F2F5FA"/>
          </w:tcPr>
          <w:p>
            <w:pPr>
              <w:spacing w:after="0"/>
              <w:jc w:val="center"/>
            </w:pPr>
            <w:r>
              <w:rPr>
                <w:rFonts w:ascii="游ゴシック" w:hAnsi="游ゴシック" w:eastAsia="游ゴシック"/>
                <w:b w:val="0"/>
                <w:sz w:val="19"/>
              </w:rPr>
              <w:t>97.0％</w:t>
            </w:r>
          </w:p>
        </w:tc>
        <w:tc>
          <w:tcPr>
            <w:tcW w:type="dxa" w:w="1247"/>
            <w:vAlign w:val="center"/>
            <w:shd w:val="clear" w:color="auto" w:fill="F2F5FA"/>
          </w:tcPr>
          <w:p>
            <w:pPr>
              <w:spacing w:after="0"/>
              <w:jc w:val="center"/>
            </w:pPr>
            <w:r>
              <w:rPr>
                <w:rFonts w:ascii="游ゴシック" w:hAnsi="游ゴシック" w:eastAsia="游ゴシック"/>
                <w:b w:val="0"/>
                <w:sz w:val="19"/>
              </w:rPr>
              <w:t>319,696円</w:t>
            </w:r>
          </w:p>
        </w:tc>
        <w:tc>
          <w:tcPr>
            <w:tcW w:type="dxa" w:w="1077"/>
            <w:vAlign w:val="center"/>
            <w:shd w:val="clear" w:color="auto" w:fill="F2F5FA"/>
          </w:tcPr>
          <w:p>
            <w:pPr>
              <w:spacing w:after="0"/>
              <w:jc w:val="center"/>
            </w:pPr>
            <w:r>
              <w:rPr>
                <w:rFonts w:ascii="游ゴシック" w:hAnsi="游ゴシック" w:eastAsia="游ゴシック"/>
                <w:b w:val="0"/>
                <w:sz w:val="19"/>
              </w:rPr>
              <w:t>99.3％</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bl>
    <w:p>
      <w:pPr>
        <w:spacing w:before="40"/>
      </w:pPr>
      <w:r>
        <w:rPr>
          <w:rFonts w:ascii="游ゴシック" w:hAnsi="游ゴシック" w:eastAsia="游ゴシック"/>
          <w:sz w:val="17"/>
        </w:rPr>
        <w:t>資料：地域包括ケア「見える化」システム（令和8年8月31日受領）。実績値は厚生労働省「介護保険事業状況報告」、計画値は介護保険事業計画にかかる保険者からの報告値</w:t>
      </w:r>
    </w:p>
    <w:p>
      <w:pPr>
        <w:ind w:left="227"/>
      </w:pPr>
      <w:r>
        <w:rPr>
          <w:rFonts w:ascii="游ゴシック" w:hAnsi="游ゴシック" w:eastAsia="游ゴシック"/>
          <w:sz w:val="18"/>
        </w:rPr>
        <w:t>※ 総括表の「第9期累計」欄は、3か年の計画値に対して令和6年度・令和7年度の2か年の実績値を対比したものであり、達成率ではありません。本報告では年度別の対計画比を用います。</w:t>
      </w:r>
    </w:p>
    <w:p>
      <w:r>
        <w:rPr>
          <w:rFonts w:ascii="游ゴシック" w:hAnsi="游ゴシック" w:eastAsia="游ゴシック"/>
          <w:b w:val="0"/>
          <w:sz w:val="21"/>
        </w:rPr>
      </w:r>
    </w:p>
    <w:p>
      <w:r>
        <w:rPr>
          <w:rFonts w:ascii="游ゴシック" w:hAnsi="游ゴシック" w:eastAsia="游ゴシック"/>
          <w:b/>
          <w:sz w:val="21"/>
        </w:rPr>
        <w:t>総給付費は2か年とも計画の範囲内です。内訳では、施設サービスが計画を上回る一方、居住系サービスが2か年とも10ポイント以上下回っています。この対比により、代表KPI H15（給付費の計画乖離率）の基準値が令和6年度▲3.66％・令和7年度▲2.17％と確定し、いずれも目標の±5％以内に収まります。</w:t>
      </w:r>
    </w:p>
    <w:p>
      <w:pPr>
        <w:keepNext/>
        <w:spacing w:before="160" w:after="40"/>
      </w:pPr>
      <w:r>
        <w:rPr>
          <w:rFonts w:ascii="游ゴシック" w:hAnsi="游ゴシック" w:eastAsia="游ゴシック"/>
          <w:b/>
          <w:sz w:val="20"/>
        </w:rPr>
        <w:t>表8　計画との乖離が大きいサービス（給付費の対計画比が±20ポイントを超えるもの）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850"/>
            <w:vAlign w:val="center"/>
            <w:shd w:val="clear" w:color="auto" w:fill="1F3864"/>
          </w:tcPr>
          <w:p>
            <w:pPr>
              <w:spacing w:after="0"/>
              <w:jc w:val="center"/>
            </w:pPr>
            <w:r>
              <w:rPr>
                <w:rFonts w:ascii="游ゴシック" w:hAnsi="游ゴシック" w:eastAsia="游ゴシック"/>
                <w:b/>
                <w:color w:val="FFFFFF"/>
                <w:sz w:val="19"/>
              </w:rPr>
              <w:t>R6</w:t>
            </w:r>
          </w:p>
        </w:tc>
        <w:tc>
          <w:tcPr>
            <w:tcW w:type="dxa" w:w="850"/>
            <w:vAlign w:val="center"/>
            <w:shd w:val="clear" w:color="auto" w:fill="1F3864"/>
          </w:tcPr>
          <w:p>
            <w:pPr>
              <w:spacing w:after="0"/>
              <w:jc w:val="center"/>
            </w:pPr>
            <w:r>
              <w:rPr>
                <w:rFonts w:ascii="游ゴシック" w:hAnsi="游ゴシック" w:eastAsia="游ゴシック"/>
                <w:b/>
                <w:color w:val="FFFFFF"/>
                <w:sz w:val="19"/>
              </w:rPr>
              <w:t>R7</w:t>
            </w:r>
          </w:p>
        </w:tc>
        <w:tc>
          <w:tcPr>
            <w:tcW w:type="dxa" w:w="794"/>
            <w:vAlign w:val="center"/>
            <w:shd w:val="clear" w:color="auto" w:fill="1F3864"/>
          </w:tcPr>
          <w:p>
            <w:pPr>
              <w:spacing w:after="0"/>
              <w:jc w:val="center"/>
            </w:pPr>
            <w:r>
              <w:rPr>
                <w:rFonts w:ascii="游ゴシック" w:hAnsi="游ゴシック" w:eastAsia="游ゴシック"/>
                <w:b/>
                <w:color w:val="FFFFFF"/>
                <w:sz w:val="19"/>
              </w:rPr>
              <w:t>区分</w:t>
            </w:r>
          </w:p>
        </w:tc>
        <w:tc>
          <w:tcPr>
            <w:tcW w:type="dxa" w:w="532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928"/>
            <w:vAlign w:val="center"/>
          </w:tcPr>
          <w:p>
            <w:pPr>
              <w:spacing w:after="0"/>
            </w:pPr>
            <w:r>
              <w:rPr>
                <w:rFonts w:ascii="游ゴシック" w:hAnsi="游ゴシック" w:eastAsia="游ゴシック"/>
                <w:b/>
                <w:sz w:val="19"/>
              </w:rPr>
              <w:t>定期巡回・随時対応型</w:t>
              <w:br/>
              <w:t>訪問介護看護</w:t>
            </w:r>
          </w:p>
        </w:tc>
        <w:tc>
          <w:tcPr>
            <w:tcW w:type="dxa" w:w="850"/>
            <w:vAlign w:val="center"/>
          </w:tcPr>
          <w:p>
            <w:pPr>
              <w:spacing w:after="0"/>
            </w:pPr>
            <w:r>
              <w:rPr>
                <w:rFonts w:ascii="游ゴシック" w:hAnsi="游ゴシック" w:eastAsia="游ゴシック"/>
                <w:b w:val="0"/>
                <w:sz w:val="19"/>
              </w:rPr>
              <w:t>0.0％</w:t>
            </w:r>
          </w:p>
        </w:tc>
        <w:tc>
          <w:tcPr>
            <w:tcW w:type="dxa" w:w="850"/>
            <w:vAlign w:val="center"/>
          </w:tcPr>
          <w:p>
            <w:pPr>
              <w:spacing w:after="0"/>
              <w:jc w:val="center"/>
            </w:pPr>
            <w:r>
              <w:rPr>
                <w:rFonts w:ascii="游ゴシック" w:hAnsi="游ゴシック" w:eastAsia="游ゴシック"/>
                <w:b w:val="0"/>
                <w:sz w:val="19"/>
              </w:rPr>
              <w:t>19.5％</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区域内に事業所がありません。第8期も3か年とも実績0人で、2期続けて計画に位置づけながら整備に至っていません。第10期の取扱いを確認事項としています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地域密着型通所介護</w:t>
            </w:r>
          </w:p>
        </w:tc>
        <w:tc>
          <w:tcPr>
            <w:tcW w:type="dxa" w:w="850"/>
            <w:vAlign w:val="center"/>
            <w:shd w:val="clear" w:color="auto" w:fill="F2F5FA"/>
          </w:tcPr>
          <w:p>
            <w:pPr>
              <w:spacing w:after="0"/>
            </w:pPr>
            <w:r>
              <w:rPr>
                <w:rFonts w:ascii="游ゴシック" w:hAnsi="游ゴシック" w:eastAsia="游ゴシック"/>
                <w:b w:val="0"/>
                <w:sz w:val="19"/>
              </w:rPr>
              <w:t>66.5％</w:t>
            </w:r>
          </w:p>
        </w:tc>
        <w:tc>
          <w:tcPr>
            <w:tcW w:type="dxa" w:w="850"/>
            <w:vAlign w:val="center"/>
            <w:shd w:val="clear" w:color="auto" w:fill="F2F5FA"/>
          </w:tcPr>
          <w:p>
            <w:pPr>
              <w:spacing w:after="0"/>
              <w:jc w:val="center"/>
            </w:pPr>
            <w:r>
              <w:rPr>
                <w:rFonts w:ascii="游ゴシック" w:hAnsi="游ゴシック" w:eastAsia="游ゴシック"/>
                <w:b w:val="0"/>
                <w:sz w:val="19"/>
              </w:rPr>
              <w:t>66.6％</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同じ通所系の通所介護88.7％・通所リハビリテーション110.5％と差が大きく、供給側の事情が疑われます</w:t>
            </w:r>
          </w:p>
        </w:tc>
      </w:tr>
      <w:tr>
        <w:trPr>
          <w:cantSplit/>
        </w:trPr>
        <w:tc>
          <w:tcPr>
            <w:tcW w:type="dxa" w:w="1928"/>
            <w:vAlign w:val="center"/>
          </w:tcPr>
          <w:p>
            <w:pPr>
              <w:spacing w:after="0"/>
            </w:pPr>
            <w:r>
              <w:rPr>
                <w:rFonts w:ascii="游ゴシック" w:hAnsi="游ゴシック" w:eastAsia="游ゴシック"/>
                <w:b/>
                <w:sz w:val="19"/>
              </w:rPr>
              <w:t>短期入所生活介護</w:t>
            </w:r>
          </w:p>
        </w:tc>
        <w:tc>
          <w:tcPr>
            <w:tcW w:type="dxa" w:w="850"/>
            <w:vAlign w:val="center"/>
          </w:tcPr>
          <w:p>
            <w:pPr>
              <w:spacing w:after="0"/>
            </w:pPr>
            <w:r>
              <w:rPr>
                <w:rFonts w:ascii="游ゴシック" w:hAnsi="游ゴシック" w:eastAsia="游ゴシック"/>
                <w:b w:val="0"/>
                <w:sz w:val="19"/>
              </w:rPr>
              <w:t>67.7％</w:t>
            </w:r>
          </w:p>
        </w:tc>
        <w:tc>
          <w:tcPr>
            <w:tcW w:type="dxa" w:w="850"/>
            <w:vAlign w:val="center"/>
          </w:tcPr>
          <w:p>
            <w:pPr>
              <w:spacing w:after="0"/>
              <w:jc w:val="center"/>
            </w:pPr>
            <w:r>
              <w:rPr>
                <w:rFonts w:ascii="游ゴシック" w:hAnsi="游ゴシック" w:eastAsia="游ゴシック"/>
                <w:b w:val="0"/>
                <w:sz w:val="19"/>
              </w:rPr>
              <w:t>65.0％</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短期入所療養介護（老健）も令和7年度67.1％で、短期入所全体が計画を下回っています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特定施設入居者生活介護</w:t>
            </w:r>
          </w:p>
        </w:tc>
        <w:tc>
          <w:tcPr>
            <w:tcW w:type="dxa" w:w="850"/>
            <w:vAlign w:val="center"/>
            <w:shd w:val="clear" w:color="auto" w:fill="F2F5FA"/>
          </w:tcPr>
          <w:p>
            <w:pPr>
              <w:spacing w:after="0"/>
            </w:pPr>
            <w:r>
              <w:rPr>
                <w:rFonts w:ascii="游ゴシック" w:hAnsi="游ゴシック" w:eastAsia="游ゴシック"/>
                <w:b w:val="0"/>
                <w:sz w:val="19"/>
              </w:rPr>
              <w:t>79.0％</w:t>
            </w:r>
          </w:p>
        </w:tc>
        <w:tc>
          <w:tcPr>
            <w:tcW w:type="dxa" w:w="850"/>
            <w:vAlign w:val="center"/>
            <w:shd w:val="clear" w:color="auto" w:fill="F2F5FA"/>
          </w:tcPr>
          <w:p>
            <w:pPr>
              <w:spacing w:after="0"/>
              <w:jc w:val="center"/>
            </w:pPr>
            <w:r>
              <w:rPr>
                <w:rFonts w:ascii="游ゴシック" w:hAnsi="游ゴシック" w:eastAsia="游ゴシック"/>
                <w:b w:val="0"/>
                <w:sz w:val="19"/>
              </w:rPr>
              <w:t>84.8％</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居住系サービスの乖離の主因です</w:t>
            </w:r>
          </w:p>
        </w:tc>
      </w:tr>
      <w:tr>
        <w:trPr>
          <w:cantSplit/>
        </w:trPr>
        <w:tc>
          <w:tcPr>
            <w:tcW w:type="dxa" w:w="1928"/>
            <w:vAlign w:val="center"/>
          </w:tcPr>
          <w:p>
            <w:pPr>
              <w:spacing w:after="0"/>
            </w:pPr>
            <w:r>
              <w:rPr>
                <w:rFonts w:ascii="游ゴシック" w:hAnsi="游ゴシック" w:eastAsia="游ゴシック"/>
                <w:b/>
                <w:sz w:val="19"/>
              </w:rPr>
              <w:t>居宅療養管理指導</w:t>
            </w:r>
          </w:p>
        </w:tc>
        <w:tc>
          <w:tcPr>
            <w:tcW w:type="dxa" w:w="850"/>
            <w:vAlign w:val="center"/>
          </w:tcPr>
          <w:p>
            <w:pPr>
              <w:spacing w:after="0"/>
            </w:pPr>
            <w:r>
              <w:rPr>
                <w:rFonts w:ascii="游ゴシック" w:hAnsi="游ゴシック" w:eastAsia="游ゴシック"/>
                <w:b w:val="0"/>
                <w:sz w:val="19"/>
              </w:rPr>
              <w:t>122.7％</w:t>
            </w:r>
          </w:p>
        </w:tc>
        <w:tc>
          <w:tcPr>
            <w:tcW w:type="dxa" w:w="850"/>
            <w:vAlign w:val="center"/>
          </w:tcPr>
          <w:p>
            <w:pPr>
              <w:spacing w:after="0"/>
              <w:jc w:val="center"/>
            </w:pPr>
            <w:r>
              <w:rPr>
                <w:rFonts w:ascii="游ゴシック" w:hAnsi="游ゴシック" w:eastAsia="游ゴシック"/>
                <w:b w:val="0"/>
                <w:sz w:val="19"/>
              </w:rPr>
              <w:t>154.9％</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第8期から連続して上振れしています。在宅医療・介護連携の進展を示すものとみられます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訪問入浴介護</w:t>
            </w:r>
          </w:p>
        </w:tc>
        <w:tc>
          <w:tcPr>
            <w:tcW w:type="dxa" w:w="850"/>
            <w:vAlign w:val="center"/>
            <w:shd w:val="clear" w:color="auto" w:fill="F2F5FA"/>
          </w:tcPr>
          <w:p>
            <w:pPr>
              <w:spacing w:after="0"/>
            </w:pPr>
            <w:r>
              <w:rPr>
                <w:rFonts w:ascii="游ゴシック" w:hAnsi="游ゴシック" w:eastAsia="游ゴシック"/>
                <w:b w:val="0"/>
                <w:sz w:val="19"/>
              </w:rPr>
              <w:t>142.9％</w:t>
            </w:r>
          </w:p>
        </w:tc>
        <w:tc>
          <w:tcPr>
            <w:tcW w:type="dxa" w:w="850"/>
            <w:vAlign w:val="center"/>
            <w:shd w:val="clear" w:color="auto" w:fill="F2F5FA"/>
          </w:tcPr>
          <w:p>
            <w:pPr>
              <w:spacing w:after="0"/>
              <w:jc w:val="center"/>
            </w:pPr>
            <w:r>
              <w:rPr>
                <w:rFonts w:ascii="游ゴシック" w:hAnsi="游ゴシック" w:eastAsia="游ゴシック"/>
                <w:b w:val="0"/>
                <w:sz w:val="19"/>
              </w:rPr>
              <w:t>166.9％</w:t>
            </w:r>
          </w:p>
        </w:tc>
        <w:tc>
          <w:tcPr>
            <w:tcW w:type="dxa" w:w="794"/>
            <w:vAlign w:val="center"/>
            <w:shd w:val="clear" w:color="auto" w:fill="F2F5FA"/>
          </w:tcPr>
          <w:p>
            <w:pPr>
              <w:spacing w:after="0"/>
              <w:jc w:val="center"/>
            </w:pPr>
            <w:r>
              <w:rPr>
                <w:rFonts w:ascii="游ゴシック" w:hAnsi="游ゴシック" w:eastAsia="游ゴシック"/>
                <w:b w:val="0"/>
                <w:sz w:val="19"/>
              </w:rPr>
              <w:t>超過</w:t>
            </w:r>
          </w:p>
        </w:tc>
        <w:tc>
          <w:tcPr>
            <w:tcW w:type="dxa" w:w="5329"/>
            <w:vAlign w:val="center"/>
            <w:shd w:val="clear" w:color="auto" w:fill="F2F5FA"/>
          </w:tcPr>
          <w:p>
            <w:pPr>
              <w:spacing w:after="0"/>
              <w:jc w:val="center"/>
            </w:pPr>
            <w:r>
              <w:rPr>
                <w:rFonts w:ascii="游ゴシック" w:hAnsi="游ゴシック" w:eastAsia="游ゴシック"/>
                <w:b w:val="0"/>
                <w:sz w:val="19"/>
              </w:rPr>
              <w:t>延べ利用者数は計画を下回る一方、1人1月あたりの利用回数が計画の1.8倍です</w:t>
            </w:r>
          </w:p>
        </w:tc>
      </w:tr>
      <w:tr>
        <w:trPr>
          <w:cantSplit/>
        </w:trPr>
        <w:tc>
          <w:tcPr>
            <w:tcW w:type="dxa" w:w="1928"/>
            <w:vAlign w:val="center"/>
          </w:tcPr>
          <w:p>
            <w:pPr>
              <w:spacing w:after="0"/>
            </w:pPr>
            <w:r>
              <w:rPr>
                <w:rFonts w:ascii="游ゴシック" w:hAnsi="游ゴシック" w:eastAsia="游ゴシック"/>
                <w:b/>
                <w:sz w:val="19"/>
              </w:rPr>
              <w:t>住宅改修</w:t>
            </w:r>
          </w:p>
        </w:tc>
        <w:tc>
          <w:tcPr>
            <w:tcW w:type="dxa" w:w="850"/>
            <w:vAlign w:val="center"/>
          </w:tcPr>
          <w:p>
            <w:pPr>
              <w:spacing w:after="0"/>
            </w:pPr>
            <w:r>
              <w:rPr>
                <w:rFonts w:ascii="游ゴシック" w:hAnsi="游ゴシック" w:eastAsia="游ゴシック"/>
                <w:b w:val="0"/>
                <w:sz w:val="19"/>
              </w:rPr>
              <w:t>125.4％</w:t>
            </w:r>
          </w:p>
        </w:tc>
        <w:tc>
          <w:tcPr>
            <w:tcW w:type="dxa" w:w="850"/>
            <w:vAlign w:val="center"/>
          </w:tcPr>
          <w:p>
            <w:pPr>
              <w:spacing w:after="0"/>
              <w:jc w:val="center"/>
            </w:pPr>
            <w:r>
              <w:rPr>
                <w:rFonts w:ascii="游ゴシック" w:hAnsi="游ゴシック" w:eastAsia="游ゴシック"/>
                <w:b w:val="0"/>
                <w:sz w:val="19"/>
              </w:rPr>
              <w:t>126.3％</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1件当たりの額が計画の想定を上回っています</w:t>
            </w:r>
          </w:p>
        </w:tc>
      </w:tr>
    </w:tbl>
    <w:p>
      <w:pPr>
        <w:spacing w:before="40"/>
      </w:pPr>
      <w:r>
        <w:rPr>
          <w:rFonts w:ascii="游ゴシック" w:hAnsi="游ゴシック" w:eastAsia="游ゴシック"/>
          <w:sz w:val="17"/>
        </w:rPr>
        <w:t>資料：地域包括ケア「見える化」システム 総括表詳細（利用者数）（給付費）</w:t>
      </w:r>
    </w:p>
    <w:p>
      <w:r>
        <w:rPr>
          <w:rFonts w:ascii="游ゴシック" w:hAnsi="游ゴシック" w:eastAsia="游ゴシック"/>
          <w:b w:val="0"/>
          <w:sz w:val="21"/>
        </w:rPr>
      </w:r>
    </w:p>
    <w:p>
      <w:r>
        <w:rPr>
          <w:rFonts w:ascii="游ゴシック" w:hAnsi="游ゴシック" w:eastAsia="游ゴシック"/>
          <w:b w:val="0"/>
          <w:sz w:val="20"/>
        </w:rPr>
        <w:t>このほか、第9期計画で計画値を0としながら実績のあるサービスが2つあります（認知症対応型通所介護、介護療養型医療施設）。計画値が0であるため対計画比が算出されず、評価の対象から漏れています。第10期では、実績のあるサービスは計画値を置く扱いと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表9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表10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2"/>
        <w:keepNext/>
        <w:spacing w:before="180" w:after="60"/>
      </w:pPr>
      <w:r>
        <w:rPr>
          <w:rFonts w:ascii="游ゴシック" w:hAnsi="游ゴシック" w:eastAsia="游ゴシック"/>
          <w:b/>
          <w:color w:val="000000"/>
          <w:sz w:val="22"/>
        </w:rPr>
        <w:t>プロセス評価の暫定判定（実績の受領前に判定できる範囲）</w:t>
      </w:r>
    </w:p>
    <w:p>
      <w:r>
        <w:rPr>
          <w:rFonts w:ascii="游ゴシック" w:hAnsi="游ゴシック" w:eastAsia="游ゴシック"/>
          <w:b w:val="0"/>
          <w:sz w:val="20"/>
        </w:rPr>
        <w:t>施策・事業実績（資料提供依頼No.13）の受領前であっても、保険者機能強化推進交付金等の大項目別得点（53項目・構成3町・3か年）を19施策に割り当てることで、取組の有無と要件の充足の推移までは判定できます。ただし交付金は事業量・対象実人数・決算額を測るものではないため、プロセス評価の代替にはなりません。</w:t>
      </w:r>
    </w:p>
    <w:p>
      <w:pPr>
        <w:keepNext/>
        <w:spacing w:before="160" w:after="40"/>
      </w:pPr>
      <w:r>
        <w:rPr>
          <w:rFonts w:ascii="游ゴシック" w:hAnsi="游ゴシック" w:eastAsia="游ゴシック"/>
          <w:b/>
          <w:sz w:val="20"/>
        </w:rPr>
        <w:t>表11　交付金の得点による19施策の暫定判定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2041"/>
            <w:vAlign w:val="center"/>
            <w:shd w:val="clear" w:color="auto" w:fill="1F3864"/>
          </w:tcPr>
          <w:p>
            <w:pPr>
              <w:spacing w:after="0"/>
              <w:jc w:val="center"/>
            </w:pPr>
            <w:r>
              <w:rPr>
                <w:rFonts w:ascii="游ゴシック" w:hAnsi="游ゴシック" w:eastAsia="游ゴシック"/>
                <w:b/>
                <w:color w:val="FFFFFF"/>
                <w:sz w:val="19"/>
              </w:rPr>
              <w:t>該当する施策</w:t>
            </w:r>
          </w:p>
        </w:tc>
        <w:tc>
          <w:tcPr>
            <w:tcW w:type="dxa" w:w="4989"/>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取組あり・改善</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1-2、2-1、2-5、4-3</w:t>
            </w:r>
          </w:p>
        </w:tc>
        <w:tc>
          <w:tcPr>
            <w:tcW w:type="dxa" w:w="4989"/>
            <w:vAlign w:val="center"/>
          </w:tcPr>
          <w:p>
            <w:pPr>
              <w:spacing w:after="0"/>
            </w:pPr>
            <w:r>
              <w:rPr>
                <w:rFonts w:ascii="游ゴシック" w:hAnsi="游ゴシック" w:eastAsia="游ゴシック"/>
                <w:b w:val="0"/>
                <w:sz w:val="19"/>
              </w:rPr>
              <w:t>令和6年度から令和8年度にかけて得点率が5ポイント以上上がりました。地域ケア会議の推進（2-5）は58％から88％へ、介護給付費の適正化（4-3）は23％から38％へ上昇しています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取組あり・横ばい</w:t>
            </w:r>
          </w:p>
        </w:tc>
        <w:tc>
          <w:tcPr>
            <w:tcW w:type="dxa" w:w="794"/>
            <w:vAlign w:val="center"/>
            <w:shd w:val="clear" w:color="auto" w:fill="F2F5FA"/>
          </w:tcPr>
          <w:p>
            <w:pPr>
              <w:spacing w:after="0"/>
            </w:pPr>
            <w:r>
              <w:rPr>
                <w:rFonts w:ascii="游ゴシック" w:hAnsi="游ゴシック" w:eastAsia="游ゴシック"/>
                <w:b w:val="0"/>
                <w:sz w:val="19"/>
              </w:rPr>
              <w:t>7</w:t>
            </w:r>
          </w:p>
        </w:tc>
        <w:tc>
          <w:tcPr>
            <w:tcW w:type="dxa" w:w="2041"/>
            <w:vAlign w:val="center"/>
            <w:shd w:val="clear" w:color="auto" w:fill="F2F5FA"/>
          </w:tcPr>
          <w:p>
            <w:pPr>
              <w:spacing w:after="0"/>
              <w:jc w:val="center"/>
            </w:pPr>
            <w:r>
              <w:rPr>
                <w:rFonts w:ascii="游ゴシック" w:hAnsi="游ゴシック" w:eastAsia="游ゴシック"/>
                <w:b w:val="0"/>
                <w:sz w:val="19"/>
              </w:rPr>
              <w:t>1-1、1-3、3-2、3-3、3-4、4-1、4-4</w:t>
            </w:r>
          </w:p>
        </w:tc>
        <w:tc>
          <w:tcPr>
            <w:tcW w:type="dxa" w:w="4989"/>
            <w:vAlign w:val="center"/>
            <w:shd w:val="clear" w:color="auto" w:fill="F2F5FA"/>
          </w:tcPr>
          <w:p>
            <w:pPr>
              <w:spacing w:after="0"/>
            </w:pPr>
            <w:r>
              <w:rPr>
                <w:rFonts w:ascii="游ゴシック" w:hAnsi="游ゴシック" w:eastAsia="游ゴシック"/>
                <w:b w:val="0"/>
                <w:sz w:val="19"/>
              </w:rPr>
              <w:t>得点率の変化が±5ポイント以内です。取組は継続していますが要件の充足が進んでいません</w:t>
            </w:r>
          </w:p>
        </w:tc>
      </w:tr>
      <w:tr>
        <w:trPr>
          <w:cantSplit/>
        </w:trPr>
        <w:tc>
          <w:tcPr>
            <w:tcW w:type="dxa" w:w="1928"/>
            <w:vAlign w:val="center"/>
          </w:tcPr>
          <w:p>
            <w:pPr>
              <w:spacing w:after="0"/>
            </w:pPr>
            <w:r>
              <w:rPr>
                <w:rFonts w:ascii="游ゴシック" w:hAnsi="游ゴシック" w:eastAsia="游ゴシック"/>
                <w:b/>
                <w:sz w:val="19"/>
              </w:rPr>
              <w:t>取組あり・低下</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2-2、2-3、2-6、3-1</w:t>
            </w:r>
          </w:p>
        </w:tc>
        <w:tc>
          <w:tcPr>
            <w:tcW w:type="dxa" w:w="4989"/>
            <w:vAlign w:val="center"/>
          </w:tcPr>
          <w:p>
            <w:pPr>
              <w:spacing w:after="0"/>
            </w:pPr>
            <w:r>
              <w:rPr>
                <w:rFonts w:ascii="游ゴシック" w:hAnsi="游ゴシック" w:eastAsia="游ゴシック"/>
                <w:b w:val="0"/>
                <w:sz w:val="19"/>
              </w:rPr>
              <w:t>得点率が5ポイント以上下がりました。総合事業の推進（2-2）は34％から26％、認知症施策の推進（2-3）は36％から30％です。低下の理由（要件の変更か取組の縮小か）は評価調書によります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交付金では判定できない</w:t>
            </w:r>
          </w:p>
        </w:tc>
        <w:tc>
          <w:tcPr>
            <w:tcW w:type="dxa" w:w="794"/>
            <w:vAlign w:val="center"/>
            <w:shd w:val="clear" w:color="auto" w:fill="F2F5FA"/>
          </w:tcPr>
          <w:p>
            <w:pPr>
              <w:spacing w:after="0"/>
            </w:pPr>
            <w:r>
              <w:rPr>
                <w:rFonts w:ascii="游ゴシック" w:hAnsi="游ゴシック" w:eastAsia="游ゴシック"/>
                <w:b w:val="0"/>
                <w:sz w:val="19"/>
              </w:rPr>
              <w:t>4</w:t>
            </w:r>
          </w:p>
        </w:tc>
        <w:tc>
          <w:tcPr>
            <w:tcW w:type="dxa" w:w="2041"/>
            <w:vAlign w:val="center"/>
            <w:shd w:val="clear" w:color="auto" w:fill="F2F5FA"/>
          </w:tcPr>
          <w:p>
            <w:pPr>
              <w:spacing w:after="0"/>
              <w:jc w:val="center"/>
            </w:pPr>
            <w:r>
              <w:rPr>
                <w:rFonts w:ascii="游ゴシック" w:hAnsi="游ゴシック" w:eastAsia="游ゴシック"/>
                <w:b w:val="0"/>
                <w:sz w:val="19"/>
              </w:rPr>
              <w:t>1-4、2-4、4-2、5-1</w:t>
            </w:r>
          </w:p>
        </w:tc>
        <w:tc>
          <w:tcPr>
            <w:tcW w:type="dxa" w:w="4989"/>
            <w:vAlign w:val="center"/>
            <w:shd w:val="clear" w:color="auto" w:fill="F2F5FA"/>
          </w:tcPr>
          <w:p>
            <w:pPr>
              <w:spacing w:after="0"/>
            </w:pPr>
            <w:r>
              <w:rPr>
                <w:rFonts w:ascii="游ゴシック" w:hAnsi="游ゴシック" w:eastAsia="游ゴシック"/>
                <w:b w:val="0"/>
                <w:sz w:val="19"/>
              </w:rPr>
              <w:t>該当する評価項目がありません。虐待防止、住まいと生活支援の一体化、事業者の適正・円滑な運営、災害・感染症対策は、実績がなければ判定できません</w:t>
            </w:r>
          </w:p>
        </w:tc>
      </w:tr>
    </w:tbl>
    <w:p>
      <w:pPr>
        <w:spacing w:before="40"/>
      </w:pPr>
      <w:r>
        <w:rPr>
          <w:rFonts w:ascii="游ゴシック" w:hAnsi="游ゴシック" w:eastAsia="游ゴシック"/>
          <w:sz w:val="17"/>
        </w:rPr>
        <w:t>資料：厚生労働省「保険者機能強化推進交付金・介護保険保険者努力支援交付金に係る評価指標（市町村分）」の全国集計結果（令和6〜8年度）</w:t>
      </w:r>
    </w:p>
    <w:p>
      <w:pPr>
        <w:ind w:left="227"/>
      </w:pPr>
      <w:r>
        <w:rPr>
          <w:rFonts w:ascii="游ゴシック" w:hAnsi="游ゴシック" w:eastAsia="游ゴシック"/>
          <w:sz w:val="18"/>
        </w:rPr>
        <w:t>※ 交付金の評価項目と19施策の割当ては受託者によるものです。1つの評価項目が複数の施策に対応する場合があります。割当てのご確認をお願いしています（確認事項No.61）。</w:t>
      </w:r>
    </w:p>
    <w:p>
      <w:r>
        <w:rPr>
          <w:rFonts w:ascii="游ゴシック" w:hAnsi="游ゴシック" w:eastAsia="游ゴシック"/>
          <w:b w:val="0"/>
          <w:sz w:val="21"/>
        </w:rPr>
      </w:r>
    </w:p>
    <w:p>
      <w:r>
        <w:rPr>
          <w:rFonts w:ascii="游ゴシック" w:hAnsi="游ゴシック" w:eastAsia="游ゴシック"/>
          <w:b/>
          <w:sz w:val="21"/>
        </w:rPr>
        <w:t>この暫定判定により、実績が届く前でも第10期の施策体系の検討を進めることができます。とくに「交付金では判定できない4施策」は、第9期において成果を測る手段も取組を確認する手段も持たない施策であり、第10期では指標の新設又は施策の統合を検討し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表12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402"/>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134"/>
            <w:vAlign w:val="center"/>
            <w:shd w:val="clear" w:color="auto" w:fill="1F3864"/>
          </w:tcPr>
          <w:p>
            <w:pPr>
              <w:spacing w:after="0"/>
              <w:jc w:val="center"/>
            </w:pPr>
            <w:r>
              <w:rPr>
                <w:rFonts w:ascii="游ゴシック" w:hAnsi="游ゴシック" w:eastAsia="游ゴシック"/>
                <w:b/>
                <w:color w:val="FFFFFF"/>
                <w:sz w:val="19"/>
              </w:rPr>
              <w:t>状態</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402"/>
            <w:vAlign w:val="center"/>
          </w:tcPr>
          <w:p>
            <w:pPr>
              <w:spacing w:after="0"/>
            </w:pPr>
            <w:r>
              <w:rPr>
                <w:rFonts w:ascii="游ゴシック" w:hAnsi="游ゴシック" w:eastAsia="游ゴシック"/>
                <w:b w:val="0"/>
                <w:sz w:val="19"/>
              </w:rPr>
              <w:t>プロセス評価。これがないと施策が計画どおり実施されたかを判定できません。見える化システムの対計画比では代替できません</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最高</w:t>
            </w:r>
          </w:p>
        </w:tc>
        <w:tc>
          <w:tcPr>
            <w:tcW w:type="dxa" w:w="567"/>
            <w:vAlign w:val="center"/>
            <w:shd w:val="clear" w:color="auto" w:fill="F2F5FA"/>
          </w:tcPr>
          <w:p>
            <w:pPr>
              <w:spacing w:after="0"/>
              <w:jc w:val="center"/>
            </w:pPr>
            <w:r>
              <w:rPr>
                <w:rFonts w:ascii="游ゴシック" w:hAnsi="游ゴシック" w:eastAsia="游ゴシック"/>
                <w:b w:val="0"/>
                <w:sz w:val="19"/>
              </w:rPr>
              <w:t>13</w:t>
            </w:r>
          </w:p>
        </w:tc>
        <w:tc>
          <w:tcPr>
            <w:tcW w:type="dxa" w:w="2494"/>
            <w:vAlign w:val="center"/>
            <w:shd w:val="clear" w:color="auto" w:fill="F2F5FA"/>
          </w:tcPr>
          <w:p>
            <w:pPr>
              <w:spacing w:after="0"/>
            </w:pPr>
            <w:r>
              <w:rPr>
                <w:rFonts w:ascii="游ゴシック" w:hAnsi="游ゴシック" w:eastAsia="游ゴシック"/>
                <w:b w:val="0"/>
                <w:sz w:val="19"/>
              </w:rPr>
              <w:t>包括的支援事業6事業及び任意事業の実績</w:t>
            </w:r>
          </w:p>
        </w:tc>
        <w:tc>
          <w:tcPr>
            <w:tcW w:type="dxa" w:w="3402"/>
            <w:vAlign w:val="center"/>
            <w:shd w:val="clear" w:color="auto" w:fill="F2F5FA"/>
          </w:tcPr>
          <w:p>
            <w:pPr>
              <w:spacing w:after="0"/>
            </w:pPr>
            <w:r>
              <w:rPr>
                <w:rFonts w:ascii="游ゴシック" w:hAnsi="游ゴシック" w:eastAsia="游ゴシック"/>
                <w:b w:val="0"/>
                <w:sz w:val="19"/>
              </w:rPr>
              <w:t>地域支援事業のプロセス評価。決算では「包括的支援事業・任意事業費」として一括計上されており、事業別の実績が分かりません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令和7年度の決算書又は年報様式4</w:t>
            </w:r>
          </w:p>
        </w:tc>
        <w:tc>
          <w:tcPr>
            <w:tcW w:type="dxa" w:w="3402"/>
            <w:vAlign w:val="center"/>
          </w:tcPr>
          <w:p>
            <w:pPr>
              <w:spacing w:after="0"/>
            </w:pPr>
            <w:r>
              <w:rPr>
                <w:rFonts w:ascii="游ゴシック" w:hAnsi="游ゴシック" w:eastAsia="游ゴシック"/>
                <w:b w:val="0"/>
                <w:sz w:val="19"/>
              </w:rPr>
              <w:t>令和7年度末の介護給付費準備基金残高。第9期の剰余額の確定と第10期の取崩方針</w:t>
            </w:r>
          </w:p>
        </w:tc>
        <w:tc>
          <w:tcPr>
            <w:tcW w:type="dxa" w:w="1134"/>
            <w:vAlign w:val="center"/>
          </w:tcPr>
          <w:p>
            <w:pPr>
              <w:spacing w:after="0"/>
              <w:jc w:val="center"/>
            </w:pPr>
            <w:r>
              <w:rPr>
                <w:rFonts w:ascii="游ゴシック" w:hAnsi="游ゴシック" w:eastAsia="游ゴシック"/>
                <w:b w:val="0"/>
                <w:sz w:val="19"/>
              </w:rPr>
              <w:t>未受領</w:t>
              <w:br/>
              <w:t>（令和8年12月頃）</w:t>
            </w:r>
          </w:p>
        </w:tc>
        <w:tc>
          <w:tcPr>
            <w:tcW w:type="dxa" w:w="1247"/>
            <w:vAlign w:val="center"/>
          </w:tcPr>
          <w:p>
            <w:pPr>
              <w:spacing w:after="0"/>
              <w:jc w:val="center"/>
            </w:pPr>
            <w:r>
              <w:rPr>
                <w:rFonts w:ascii="游ゴシック" w:hAnsi="游ゴシック" w:eastAsia="游ゴシック"/>
                <w:b w:val="0"/>
                <w:sz w:val="19"/>
              </w:rPr>
              <w:t>確定次第</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402"/>
            <w:vAlign w:val="center"/>
            <w:shd w:val="clear" w:color="auto" w:fill="F2F5FA"/>
          </w:tcPr>
          <w:p>
            <w:pPr>
              <w:spacing w:after="0"/>
            </w:pPr>
            <w:r>
              <w:rPr>
                <w:rFonts w:ascii="游ゴシック" w:hAnsi="游ゴシック" w:eastAsia="游ゴシック"/>
                <w:b w:val="0"/>
                <w:sz w:val="19"/>
              </w:rPr>
              <w:t>0点項目が取組の不在か要件未充足かの判別。大項目別の得点は復元済みですが、0点の理由は判別できません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402"/>
            <w:vAlign w:val="center"/>
          </w:tcPr>
          <w:p>
            <w:pPr>
              <w:spacing w:after="0"/>
            </w:pPr>
            <w:r>
              <w:rPr>
                <w:rFonts w:ascii="游ゴシック" w:hAnsi="游ゴシック" w:eastAsia="游ゴシック"/>
                <w:b w:val="0"/>
                <w:sz w:val="19"/>
              </w:rPr>
              <w:t>介護サービス利用率の低下（7.9ポイント）の要因の分解</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402"/>
            <w:vAlign w:val="center"/>
            <w:shd w:val="clear" w:color="auto" w:fill="F2F5FA"/>
          </w:tcPr>
          <w:p>
            <w:pPr>
              <w:spacing w:after="0"/>
            </w:pPr>
            <w:r>
              <w:rPr>
                <w:rFonts w:ascii="游ゴシック" w:hAnsi="游ゴシック" w:eastAsia="游ゴシック"/>
                <w:b w:val="0"/>
                <w:sz w:val="19"/>
              </w:rPr>
              <w:t>地域密着型通所介護の対計画比66％の要因（稼働率の低下の有無）。施設定員の減少の経緯</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中</w:t>
            </w:r>
          </w:p>
        </w:tc>
        <w:tc>
          <w:tcPr>
            <w:tcW w:type="dxa" w:w="567"/>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第9期の自己評価と北海道への報告の実績</w:t>
            </w:r>
          </w:p>
        </w:tc>
        <w:tc>
          <w:tcPr>
            <w:tcW w:type="dxa" w:w="3402"/>
            <w:vAlign w:val="center"/>
          </w:tcPr>
          <w:p>
            <w:pPr>
              <w:spacing w:after="0"/>
            </w:pPr>
            <w:r>
              <w:rPr>
                <w:rFonts w:ascii="游ゴシック" w:hAnsi="游ゴシック" w:eastAsia="游ゴシック"/>
                <w:b w:val="0"/>
                <w:sz w:val="19"/>
              </w:rPr>
              <w:t>介護保険法第117条に基づく評価・公表の実績。受託者の評価との対照</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21</w:t>
              <w:br/>
              <w:t>22</w:t>
            </w:r>
          </w:p>
        </w:tc>
        <w:tc>
          <w:tcPr>
            <w:tcW w:type="dxa" w:w="2494"/>
            <w:vAlign w:val="center"/>
            <w:shd w:val="clear" w:color="auto" w:fill="F2F5FA"/>
          </w:tcPr>
          <w:p>
            <w:pPr>
              <w:spacing w:after="0"/>
            </w:pPr>
            <w:r>
              <w:rPr>
                <w:rFonts w:ascii="游ゴシック" w:hAnsi="游ゴシック" w:eastAsia="游ゴシック"/>
                <w:b w:val="0"/>
                <w:sz w:val="19"/>
              </w:rPr>
              <w:t>介護保険事業状況報告　年報（令和6・7年度）及び月報（令和8年4〜7月分）</w:t>
            </w:r>
          </w:p>
        </w:tc>
        <w:tc>
          <w:tcPr>
            <w:tcW w:type="dxa" w:w="3402"/>
            <w:vAlign w:val="center"/>
            <w:shd w:val="clear" w:color="auto" w:fill="F2F5FA"/>
          </w:tcPr>
          <w:p>
            <w:pPr>
              <w:spacing w:after="0"/>
            </w:pPr>
            <w:r>
              <w:rPr>
                <w:rFonts w:ascii="游ゴシック" w:hAnsi="游ゴシック" w:eastAsia="游ゴシック"/>
                <w:b w:val="0"/>
                <w:sz w:val="19"/>
              </w:rPr>
              <w:t>第9期の通年の確定値と令和8年度の推移</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23</w:t>
            </w:r>
          </w:p>
        </w:tc>
        <w:tc>
          <w:tcPr>
            <w:tcW w:type="dxa" w:w="2494"/>
            <w:vAlign w:val="center"/>
          </w:tcPr>
          <w:p>
            <w:pPr>
              <w:spacing w:after="0"/>
            </w:pPr>
            <w:r>
              <w:rPr>
                <w:rFonts w:ascii="游ゴシック" w:hAnsi="游ゴシック" w:eastAsia="游ゴシック"/>
                <w:b w:val="0"/>
                <w:sz w:val="19"/>
              </w:rPr>
              <w:t>給付実績データ（サービス別の利用者数・利用日数等）</w:t>
            </w:r>
          </w:p>
        </w:tc>
        <w:tc>
          <w:tcPr>
            <w:tcW w:type="dxa" w:w="3402"/>
            <w:vAlign w:val="center"/>
          </w:tcPr>
          <w:p>
            <w:pPr>
              <w:spacing w:after="0"/>
            </w:pPr>
            <w:r>
              <w:rPr>
                <w:rFonts w:ascii="游ゴシック" w:hAnsi="游ゴシック" w:eastAsia="游ゴシック"/>
                <w:b w:val="0"/>
                <w:sz w:val="19"/>
              </w:rPr>
              <w:t>サービス見込量の推定の基礎</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9</w:t>
            </w:r>
          </w:p>
        </w:tc>
        <w:tc>
          <w:tcPr>
            <w:tcW w:type="dxa" w:w="2494"/>
            <w:vAlign w:val="center"/>
            <w:shd w:val="clear" w:color="auto" w:fill="F2F5FA"/>
          </w:tcPr>
          <w:p>
            <w:pPr>
              <w:spacing w:after="0"/>
            </w:pPr>
            <w:r>
              <w:rPr>
                <w:rFonts w:ascii="游ゴシック" w:hAnsi="游ゴシック" w:eastAsia="游ゴシック"/>
                <w:b w:val="0"/>
                <w:sz w:val="19"/>
              </w:rPr>
              <w:t>令和6年度決算書、基金条例</w:t>
            </w:r>
          </w:p>
        </w:tc>
        <w:tc>
          <w:tcPr>
            <w:tcW w:type="dxa" w:w="3402"/>
            <w:vAlign w:val="center"/>
            <w:shd w:val="clear" w:color="auto" w:fill="F2F5FA"/>
          </w:tcPr>
          <w:p>
            <w:pPr>
              <w:spacing w:after="0"/>
            </w:pPr>
            <w:r>
              <w:rPr>
                <w:rFonts w:ascii="游ゴシック" w:hAnsi="游ゴシック" w:eastAsia="游ゴシック"/>
                <w:b w:val="0"/>
                <w:sz w:val="19"/>
              </w:rPr>
              <w:t>令和6年度末の基金残高、条例による取崩しの要件と積立ての上限</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w:t>
            </w:r>
          </w:p>
        </w:tc>
        <w:tc>
          <w:tcPr>
            <w:tcW w:type="dxa" w:w="2494"/>
            <w:vAlign w:val="center"/>
          </w:tcPr>
          <w:p>
            <w:pPr>
              <w:spacing w:after="0"/>
            </w:pPr>
            <w:r>
              <w:rPr>
                <w:rFonts w:ascii="游ゴシック" w:hAnsi="游ゴシック" w:eastAsia="游ゴシック"/>
                <w:b w:val="0"/>
                <w:sz w:val="19"/>
              </w:rPr>
              <w:t>総合事業の実施状況に関する調査（令和6年度）</w:t>
            </w:r>
          </w:p>
        </w:tc>
        <w:tc>
          <w:tcPr>
            <w:tcW w:type="dxa" w:w="3402"/>
            <w:vAlign w:val="center"/>
          </w:tcPr>
          <w:p>
            <w:pPr>
              <w:spacing w:after="0"/>
            </w:pPr>
            <w:r>
              <w:rPr>
                <w:rFonts w:ascii="游ゴシック" w:hAnsi="游ゴシック" w:eastAsia="游ゴシック"/>
                <w:b w:val="0"/>
                <w:sz w:val="19"/>
              </w:rPr>
              <w:t>通いの場の実績、一般介護予防事業の実施状況。代表KPI H05の総合事業ベースの基準値</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1</w:t>
            </w:r>
          </w:p>
        </w:tc>
        <w:tc>
          <w:tcPr>
            <w:tcW w:type="dxa" w:w="2494"/>
            <w:vAlign w:val="center"/>
            <w:shd w:val="clear" w:color="auto" w:fill="F2F5FA"/>
          </w:tcPr>
          <w:p>
            <w:pPr>
              <w:spacing w:after="0"/>
            </w:pPr>
            <w:r>
              <w:rPr>
                <w:rFonts w:ascii="游ゴシック" w:hAnsi="游ゴシック" w:eastAsia="游ゴシック"/>
                <w:b w:val="0"/>
                <w:sz w:val="19"/>
              </w:rPr>
              <w:t>見える化システムの総括表・管理指標グラフ</w:t>
            </w:r>
          </w:p>
        </w:tc>
        <w:tc>
          <w:tcPr>
            <w:tcW w:type="dxa" w:w="3402"/>
            <w:vAlign w:val="center"/>
            <w:shd w:val="clear" w:color="auto" w:fill="F2F5FA"/>
          </w:tcPr>
          <w:p>
            <w:pPr>
              <w:spacing w:after="0"/>
            </w:pPr>
            <w:r>
              <w:rPr>
                <w:rFonts w:ascii="游ゴシック" w:hAnsi="游ゴシック" w:eastAsia="游ゴシック"/>
                <w:b w:val="0"/>
                <w:sz w:val="19"/>
              </w:rPr>
              <w:t>第9期の計画値と実績値の対比、サービス別の乖離、保険料基準額の計画と実績</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（R8.8.31）</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w:t>
      </w:r>
    </w:p>
    <w:p>
      <w:r>
        <w:rPr>
          <w:rFonts w:ascii="游ゴシック" w:hAnsi="游ゴシック" w:eastAsia="游ゴシック"/>
          <w:b w:val="0"/>
          <w:sz w:val="21"/>
        </w:rPr>
      </w:r>
    </w:p>
    <w:p>
      <w:r>
        <w:rPr>
          <w:rFonts w:ascii="游ゴシック" w:hAnsi="游ゴシック" w:eastAsia="游ゴシック"/>
          <w:b/>
          <w:sz w:val="21"/>
        </w:rPr>
        <w:t>令和8年8月28日及び31日の受領により、成果評価は公表資料及び受領資料で成立する見通しとなりました。残るのはプロセス評価に必要な資料で、最高優先は3件です。うち資料No.13の2件は他の統計では代替できず、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表13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表14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表15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表16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