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160"/>
        <w:jc w:val="center"/>
      </w:pPr>
      <w:r>
        <w:rPr>
          <w:rFonts w:ascii="ＭＳ ゴシック" w:cs="ＭＳ ゴシック" w:eastAsia="ＭＳ ゴシック" w:hAnsi="ＭＳ ゴシック"/>
          <w:color w:val="808080"/>
          <w:sz w:val="22"/>
          <w:szCs w:val="22"/>
        </w:rPr>
        <w:t xml:space="preserve">令和８年度上下水道経営指標評価書等作成等業務委託</w:t>
      </w:r>
    </w:p>
    <w:p>
      <w:pPr>
        <w:spacing w:after="100"/>
        <w:jc w:val="center"/>
      </w:pPr>
      <w:r>
        <w:rPr>
          <w:rFonts w:ascii="ＭＳ ゴシック" w:cs="ＭＳ ゴシック" w:eastAsia="ＭＳ ゴシック" w:hAnsi="ＭＳ ゴシック"/>
          <w:b/>
          <w:bCs/>
          <w:color w:val="1F3864"/>
          <w:sz w:val="30"/>
          <w:szCs w:val="30"/>
        </w:rPr>
        <w:t xml:space="preserve">女川町上下水道事業</w:t>
      </w:r>
    </w:p>
    <w:p>
      <w:pPr>
        <w:spacing w:after="60"/>
        <w:jc w:val="center"/>
      </w:pPr>
      <w:r>
        <w:rPr>
          <w:rFonts w:ascii="ＭＳ ゴシック" w:cs="ＭＳ ゴシック" w:eastAsia="ＭＳ ゴシック" w:hAnsi="ＭＳ ゴシック"/>
          <w:b/>
          <w:bCs/>
          <w:color w:val="1F3864"/>
          <w:sz w:val="36"/>
          <w:szCs w:val="36"/>
        </w:rPr>
        <w:t xml:space="preserve">過年度決算の修正前後における</w:t>
      </w:r>
    </w:p>
    <w:p>
      <w:pPr>
        <w:spacing w:after="260"/>
        <w:jc w:val="center"/>
      </w:pPr>
      <w:r>
        <w:rPr>
          <w:rFonts w:ascii="ＭＳ ゴシック" w:cs="ＭＳ ゴシック" w:eastAsia="ＭＳ ゴシック" w:hAnsi="ＭＳ ゴシック"/>
          <w:b/>
          <w:bCs/>
          <w:color w:val="1F3864"/>
          <w:sz w:val="36"/>
          <w:szCs w:val="36"/>
        </w:rPr>
        <w:t xml:space="preserve">財務・経営指標分析報告書</w:t>
      </w:r>
    </w:p>
    <w:p>
      <w:pPr>
        <w:pBdr>
          <w:top w:val="single" w:color="C55A11" w:sz="8" w:space="10"/>
        </w:pBdr>
        <w:spacing w:after="1400"/>
        <w:jc w:val="center"/>
      </w:pPr>
      <w:r>
        <w:rPr>
          <w:rFonts w:ascii="ＭＳ ゴシック" w:cs="ＭＳ ゴシック" w:eastAsia="ＭＳ ゴシック" w:hAnsi="ＭＳ ゴシック"/>
          <w:b/>
          <w:bCs/>
          <w:color w:val="C55A11"/>
          <w:sz w:val="24"/>
          <w:szCs w:val="24"/>
        </w:rPr>
        <w:t xml:space="preserve">業務仕様書 ６(３) 対応　／　中 間 報 告</w:t>
      </w:r>
    </w:p>
    <w:p>
      <w:pPr>
        <w:spacing w:after="100"/>
        <w:jc w:val="center"/>
      </w:pPr>
      <w:r>
        <w:rPr>
          <w:rFonts w:ascii="ＭＳ 明朝" w:cs="ＭＳ 明朝" w:eastAsia="ＭＳ 明朝" w:hAnsi="ＭＳ 明朝"/>
          <w:sz w:val="22"/>
          <w:szCs w:val="22"/>
        </w:rPr>
        <w:t xml:space="preserve">令和８年８月</w:t>
      </w:r>
    </w:p>
    <w:p>
      <w:pPr>
        <w:spacing w:after="60"/>
        <w:jc w:val="center"/>
      </w:pPr>
      <w:r>
        <w:rPr>
          <w:rFonts w:ascii="ＭＳ ゴシック" w:cs="ＭＳ ゴシック" w:eastAsia="ＭＳ ゴシック" w:hAnsi="ＭＳ ゴシック"/>
          <w:b/>
          <w:bCs/>
          <w:sz w:val="24"/>
          <w:szCs w:val="24"/>
        </w:rPr>
        <w:t xml:space="preserve">ビズアップ公共コンサルティング株式会社</w:t>
      </w:r>
    </w:p>
    <w:p>
      <w:r>
        <w:br w:type="page"/>
      </w:r>
    </w:p>
    <w:p>
      <w:pPr>
        <w:spacing w:after="300" w:before="200"/>
        <w:jc w:val="center"/>
      </w:pPr>
      <w:r>
        <w:rPr>
          <w:rFonts w:ascii="ＭＳ ゴシック" w:cs="ＭＳ ゴシック" w:eastAsia="ＭＳ ゴシック" w:hAnsi="ＭＳ ゴシック"/>
          <w:b/>
          <w:bCs/>
          <w:color w:val="1F3864"/>
          <w:sz w:val="28"/>
          <w:szCs w:val="28"/>
        </w:rPr>
        <w:t xml:space="preserve">目　　次</w:t>
      </w:r>
    </w:p>
    <w:sdt>
      <w:sdtPr>
        <w:alias w:val="目次"/>
      </w:sdtPr>
      <w:sdtContent>
        <w:p>
          <w:r>
            <w:fldChar w:fldCharType="begin" w:dirty="true"/>
            <w:instrText xml:space="preserve">TOC \h \o "1-2"</w:instrText>
            <w:fldChar w:fldCharType="separate"/>
          </w:r>
        </w:p>
        <w:p>
          <w:r>
            <w:fldChar w:fldCharType="end"/>
          </w:r>
        </w:p>
      </w:sdtContent>
    </w:sdt>
    <w:p>
      <w:pPr>
        <w:spacing w:before="400"/>
        <w:jc w:val="center"/>
      </w:pPr>
      <w:r>
        <w:rPr>
          <w:rFonts w:ascii="ＭＳ 明朝" w:cs="ＭＳ 明朝" w:eastAsia="ＭＳ 明朝" w:hAnsi="ＭＳ 明朝"/>
          <w:color w:val="808080"/>
          <w:sz w:val="17"/>
          <w:szCs w:val="17"/>
        </w:rPr>
        <w:t xml:space="preserve">※ 目次のページ番号は、Wordで目次を右クリックし「フィールド更新」を実行すると表示されます。</w:t>
      </w:r>
    </w:p>
    <w:p>
      <w:r>
        <w:br w:type="page"/>
      </w:r>
    </w:p>
    <w:p>
      <w:pPr>
        <w:pStyle w:val="Heading1"/>
        <w:pBdr>
          <w:bottom w:val="single" w:color="1F3864" w:sz="12" w:space="4"/>
        </w:pBdr>
        <w:spacing w:after="220" w:before="480"/>
      </w:pPr>
      <w:r>
        <w:rPr>
          <w:rFonts w:ascii="ＭＳ ゴシック" w:cs="ＭＳ ゴシック" w:eastAsia="ＭＳ ゴシック" w:hAnsi="ＭＳ ゴシック"/>
          <w:b/>
          <w:bCs/>
          <w:color w:val="1F3864"/>
          <w:sz w:val="28"/>
          <w:szCs w:val="28"/>
        </w:rPr>
        <w:t xml:space="preserve">第１章　本報告書の位置づけ</w:t>
      </w:r>
    </w:p>
    <w:p>
      <w:pPr>
        <w:pStyle w:val="Heading2"/>
        <w:spacing w:after="140" w:before="320"/>
      </w:pPr>
      <w:r>
        <w:rPr>
          <w:rFonts w:ascii="ＭＳ ゴシック" w:cs="ＭＳ ゴシック" w:eastAsia="ＭＳ ゴシック" w:hAnsi="ＭＳ ゴシック"/>
          <w:b/>
          <w:bCs/>
          <w:color w:val="2E75B6"/>
          <w:sz w:val="23"/>
          <w:szCs w:val="23"/>
        </w:rPr>
        <w:t xml:space="preserve">１－１　目的</w:t>
      </w:r>
    </w:p>
    <w:p>
      <w:pPr>
        <w:spacing w:after="120" w:before="0" w:line="300"/>
        <w:jc w:val="both"/>
      </w:pPr>
      <w:r>
        <w:rPr>
          <w:rFonts w:ascii="ＭＳ 明朝" w:cs="ＭＳ 明朝" w:eastAsia="ＭＳ 明朝" w:hAnsi="ＭＳ 明朝"/>
          <w:b w:val="false"/>
          <w:bCs w:val="false"/>
          <w:color w:val="000000"/>
          <w:sz w:val="21"/>
          <w:szCs w:val="21"/>
        </w:rPr>
        <w:t xml:space="preserve">　業務仕様書６(３)は、「過年度決算の修正前、修正後を含めて、財務・経営に関する指標分析をする」ことを求めています。本報告書は、この要求に対応するものです。</w:t>
      </w:r>
    </w:p>
    <w:p>
      <w:pPr>
        <w:spacing w:after="120" w:before="0" w:line="300"/>
        <w:jc w:val="both"/>
      </w:pPr>
      <w:r>
        <w:rPr>
          <w:rFonts w:ascii="ＭＳ 明朝" w:cs="ＭＳ 明朝" w:eastAsia="ＭＳ 明朝" w:hAnsi="ＭＳ 明朝"/>
          <w:b w:val="false"/>
          <w:bCs w:val="false"/>
          <w:color w:val="000000"/>
          <w:sz w:val="21"/>
          <w:szCs w:val="21"/>
        </w:rPr>
        <w:t xml:space="preserve">　女川町上下水道事業では、令和７年度決算において過年度の会計処理の誤りが一括して修正されました。上水道事業では特別利益774,867,329円および特別損失2,333,576,494円が計上されています。この修正により、財務諸表および経営指標がどのように変化するかを、第三者の立場で検証し整理しました。</w:t>
      </w:r>
    </w:p>
    <w:p>
      <w:pPr>
        <w:spacing w:after="120" w:before="0" w:line="300"/>
        <w:jc w:val="both"/>
      </w:pPr>
      <w:r>
        <w:rPr>
          <w:rFonts w:ascii="ＭＳ 明朝" w:cs="ＭＳ 明朝" w:eastAsia="ＭＳ 明朝" w:hAnsi="ＭＳ 明朝"/>
          <w:b w:val="false"/>
          <w:bCs w:val="false"/>
          <w:color w:val="000000"/>
          <w:sz w:val="21"/>
          <w:szCs w:val="21"/>
        </w:rPr>
        <w:t xml:space="preserve">　あわせて、料金改定検討の基幹ファイル（onagawa_rate_reform_v1.xlsx）について、数値の誤り５点および表示・構成の問題５点の修正値を確定しました。中間報告資料の基礎となるためです。</w:t>
      </w:r>
    </w:p>
    <w:p>
      <w:pPr>
        <w:pStyle w:val="Heading2"/>
        <w:spacing w:after="140" w:before="320"/>
      </w:pPr>
      <w:r>
        <w:rPr>
          <w:rFonts w:ascii="ＭＳ ゴシック" w:cs="ＭＳ ゴシック" w:eastAsia="ＭＳ ゴシック" w:hAnsi="ＭＳ ゴシック"/>
          <w:b/>
          <w:bCs/>
          <w:color w:val="2E75B6"/>
          <w:sz w:val="23"/>
          <w:szCs w:val="23"/>
        </w:rPr>
        <w:t xml:space="preserve">１－２　対象と用いた資料</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2900"/>
        <w:gridCol w:w="3500"/>
        <w:gridCol w:w="3200"/>
      </w:tblGrid>
      <w:tr>
        <w:trPr>
          <w:tblHeader/>
        </w:trPr>
        <w:tc>
          <w:tcPr>
            <w:tcW w:type="dxa" w:w="29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7"/>
                <w:szCs w:val="17"/>
              </w:rPr>
              <w:t xml:space="preserve">資　料</w:t>
            </w:r>
          </w:p>
        </w:tc>
        <w:tc>
          <w:tcPr>
            <w:tcW w:type="dxa" w:w="35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7"/>
                <w:szCs w:val="17"/>
              </w:rPr>
              <w:t xml:space="preserve">使用箇所</w:t>
            </w:r>
          </w:p>
        </w:tc>
        <w:tc>
          <w:tcPr>
            <w:tcW w:type="dxa" w:w="32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7"/>
                <w:szCs w:val="17"/>
              </w:rPr>
              <w:t xml:space="preserve">備　考</w:t>
            </w:r>
          </w:p>
        </w:tc>
      </w:tr>
      <w:tr>
        <w:tc>
          <w:tcPr>
            <w:tcW w:type="dxa" w:w="2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令和７年度 女川町上水道事業会計決算書</w:t>
            </w:r>
          </w:p>
        </w:tc>
        <w:tc>
          <w:tcPr>
            <w:tcW w:type="dxa" w:w="3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貸借対照表・剰余金計算書・有形固定資産明細書・財務分析表・経営指標の推移</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剰余金計算書の「前年度末残高」が令和６年度末の修正前の値</w:t>
            </w:r>
          </w:p>
        </w:tc>
      </w:tr>
      <w:tr>
        <w:tc>
          <w:tcPr>
            <w:tcW w:type="dxa" w:w="29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令和７年度 女川町下水道事業会計決算書</w:t>
            </w:r>
          </w:p>
        </w:tc>
        <w:tc>
          <w:tcPr>
            <w:tcW w:type="dxa" w:w="3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剰余金計算書・損益計算書</w:t>
            </w:r>
          </w:p>
        </w:tc>
        <w:tc>
          <w:tcPr>
            <w:tcW w:type="dxa" w:w="32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未処理欠損金の連続性検証に使用</w:t>
            </w:r>
          </w:p>
        </w:tc>
      </w:tr>
      <w:tr>
        <w:tc>
          <w:tcPr>
            <w:tcW w:type="dxa" w:w="2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7"/>
                <w:szCs w:val="17"/>
              </w:rPr>
              <w:t xml:space="preserve">令和７年度 水道分決算審査意見書（案・初稿）</w:t>
            </w:r>
          </w:p>
        </w:tc>
        <w:tc>
          <w:tcPr>
            <w:tcW w:type="dxa" w:w="3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「参考　過年度審査指摘事項」の修正前・修正後の額</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C00000"/>
                <w:sz w:val="17"/>
                <w:szCs w:val="17"/>
              </w:rPr>
              <w:t xml:space="preserve">★確定版で額が変わりうるため、最終報告時に再突合が必要</w:t>
            </w:r>
          </w:p>
        </w:tc>
      </w:tr>
      <w:tr>
        <w:tc>
          <w:tcPr>
            <w:tcW w:type="dxa" w:w="29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女川町_水道 経営戦略試算シート20251209版.xlsx</w:t>
            </w:r>
          </w:p>
        </w:tc>
        <w:tc>
          <w:tcPr>
            <w:tcW w:type="dxa" w:w="3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「有収水量別」シート（調定データ１か月分・3,059件）</w:t>
            </w:r>
          </w:p>
        </w:tc>
        <w:tc>
          <w:tcPr>
            <w:tcW w:type="dxa" w:w="32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★個人が特定されうるため、本報告書には水量帯別・口径別の集計のみを掲載</w:t>
            </w:r>
          </w:p>
        </w:tc>
      </w:tr>
      <w:tr>
        <w:tc>
          <w:tcPr>
            <w:tcW w:type="dxa" w:w="2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onagawa_rate_reform_v1.xlsx</w:t>
            </w:r>
          </w:p>
        </w:tc>
        <w:tc>
          <w:tcPr>
            <w:tcW w:type="dxa" w:w="3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修正対象の基幹ファイル（８シート）</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w:t>
            </w:r>
          </w:p>
        </w:tc>
      </w:tr>
    </w:tbl>
    <w:p>
      <w:pPr>
        <w:pStyle w:val="Heading2"/>
        <w:spacing w:after="140" w:before="320"/>
      </w:pPr>
      <w:r>
        <w:rPr>
          <w:rFonts w:ascii="ＭＳ ゴシック" w:cs="ＭＳ ゴシック" w:eastAsia="ＭＳ ゴシック" w:hAnsi="ＭＳ ゴシック"/>
          <w:b/>
          <w:bCs/>
          <w:color w:val="2E75B6"/>
          <w:sz w:val="23"/>
          <w:szCs w:val="23"/>
        </w:rPr>
        <w:t xml:space="preserve">１－３　結論の要旨</w:t>
      </w:r>
    </w:p>
    <w:p>
      <w:pPr>
        <w:pStyle w:val="Heading3"/>
        <w:spacing w:after="100" w:before="220"/>
      </w:pPr>
      <w:r>
        <w:rPr>
          <w:rFonts w:ascii="ＭＳ ゴシック" w:cs="ＭＳ ゴシック" w:eastAsia="ＭＳ ゴシック" w:hAnsi="ＭＳ ゴシック"/>
          <w:b/>
          <w:bCs/>
          <w:color w:val="C55A11"/>
          <w:sz w:val="21"/>
          <w:szCs w:val="21"/>
        </w:rPr>
        <w:t xml:space="preserve">結論１　過年度修正の純影響額は 1,558,605,676円であり、決算書と１円まで一致した</w:t>
      </w:r>
    </w:p>
    <w:p>
      <w:pPr>
        <w:spacing w:after="120" w:before="0" w:line="300"/>
        <w:jc w:val="both"/>
      </w:pPr>
      <w:r>
        <w:rPr>
          <w:rFonts w:ascii="ＭＳ 明朝" w:cs="ＭＳ 明朝" w:eastAsia="ＭＳ 明朝" w:hAnsi="ＭＳ 明朝"/>
          <w:b w:val="false"/>
          <w:bCs w:val="false"/>
          <w:color w:val="000000"/>
          <w:sz w:val="21"/>
          <w:szCs w:val="21"/>
        </w:rPr>
        <w:t xml:space="preserve">　決算審査意見書に記載された修正前・修正後の額から、令和６年度末の貸借対照表を再構成し、貸借対照表等式によって欠損金の増加額を独立に算定しました。その結果は1,558,605,676円となり、令和７年度決算に計上された特別損益（当年度分を除く）と差異０円で一致しました。意見書の記載と決算書の計上額が完全に整合していることを確認しています。</w:t>
      </w:r>
    </w:p>
    <w:p>
      <w:pPr>
        <w:pStyle w:val="Heading3"/>
        <w:spacing w:after="100" w:before="220"/>
      </w:pPr>
      <w:r>
        <w:rPr>
          <w:rFonts w:ascii="ＭＳ ゴシック" w:cs="ＭＳ ゴシック" w:eastAsia="ＭＳ ゴシック" w:hAnsi="ＭＳ ゴシック"/>
          <w:b/>
          <w:bCs/>
          <w:color w:val="C55A11"/>
          <w:sz w:val="21"/>
          <w:szCs w:val="21"/>
        </w:rPr>
        <w:t xml:space="preserve">結論２　令和６年度の有形固定資産減価償却率は、修正前19.43％／修正後34.46％</w:t>
      </w:r>
    </w:p>
    <w:p>
      <w:pPr>
        <w:spacing w:after="120" w:before="0" w:line="300"/>
        <w:jc w:val="both"/>
      </w:pPr>
      <w:r>
        <w:rPr>
          <w:rFonts w:ascii="ＭＳ 明朝" w:cs="ＭＳ 明朝" w:eastAsia="ＭＳ 明朝" w:hAnsi="ＭＳ 明朝"/>
          <w:b w:val="false"/>
          <w:bCs w:val="false"/>
          <w:color w:val="000000"/>
          <w:sz w:val="21"/>
          <w:szCs w:val="21"/>
        </w:rPr>
        <w:t xml:space="preserve">　決算書に掲載された19.43％は修正前ベースの値です。過年度修正を反映すると34.46％となり、15.03ポイント高くなります。施設の老朽化度合いは公表値よりはるかに進行しており、更新需要を説明する際の基礎となる重要な指標です。</w:t>
      </w:r>
    </w:p>
    <w:p>
      <w:pPr>
        <w:pStyle w:val="Heading3"/>
        <w:spacing w:after="100" w:before="220"/>
      </w:pPr>
      <w:r>
        <w:rPr>
          <w:rFonts w:ascii="ＭＳ ゴシック" w:cs="ＭＳ ゴシック" w:eastAsia="ＭＳ ゴシック" w:hAnsi="ＭＳ ゴシック"/>
          <w:b/>
          <w:bCs/>
          <w:color w:val="C55A11"/>
          <w:sz w:val="21"/>
          <w:szCs w:val="21"/>
        </w:rPr>
        <w:t xml:space="preserve">結論３【要確認】令和７年度決算書掲載の22.07％は、同じ決算書の明細書から算定される36.93％と一致しない</w:t>
      </w:r>
    </w:p>
    <w:p>
      <w:pPr>
        <w:spacing w:after="120" w:before="0" w:line="300"/>
        <w:jc w:val="both"/>
      </w:pPr>
      <w:r>
        <w:rPr>
          <w:rFonts w:ascii="ＭＳ 明朝" w:cs="ＭＳ 明朝" w:eastAsia="ＭＳ 明朝" w:hAnsi="ＭＳ 明朝"/>
          <w:b w:val="false"/>
          <w:bCs w:val="false"/>
          <w:color w:val="000000"/>
          <w:sz w:val="21"/>
          <w:szCs w:val="21"/>
        </w:rPr>
        <w:t xml:space="preserve">　有形固定資産明細書から算定すると、減価償却累計額5,319,896,544円÷償却対象資産の帳簿原価14,403,468,966円＝36.93％となり、掲載値22.07％と14.86ポイントの差があります。分子・分母の８通りの組合せを検証したところ、修正前の減価償却累計額を分子とする場合にのみ21.9〜22.2％の範囲となり掲載値を含みました。分子に過年度修正が反映されていない可能性が高いと考えられます。決算状況調査・経営比較分析表に波及するため、算定根拠の確認が必要です。</w:t>
      </w:r>
    </w:p>
    <w:p>
      <w:pPr>
        <w:pStyle w:val="Heading3"/>
        <w:spacing w:after="100" w:before="220"/>
      </w:pPr>
      <w:r>
        <w:rPr>
          <w:rFonts w:ascii="ＭＳ ゴシック" w:cs="ＭＳ ゴシック" w:eastAsia="ＭＳ ゴシック" w:hAnsi="ＭＳ ゴシック"/>
          <w:b/>
          <w:bCs/>
          <w:color w:val="C55A11"/>
          <w:sz w:val="21"/>
          <w:szCs w:val="21"/>
        </w:rPr>
        <w:t xml:space="preserve">結論４　基幹ファイルの数値の誤り５点の修正値を確定した</w:t>
      </w:r>
    </w:p>
    <w:p>
      <w:pPr>
        <w:spacing w:after="120" w:before="0" w:line="300"/>
        <w:jc w:val="both"/>
      </w:pPr>
      <w:r>
        <w:rPr>
          <w:rFonts w:ascii="ＭＳ 明朝" w:cs="ＭＳ 明朝" w:eastAsia="ＭＳ 明朝" w:hAnsi="ＭＳ 明朝"/>
          <w:b w:val="false"/>
          <w:bCs w:val="false"/>
          <w:color w:val="000000"/>
          <w:sz w:val="21"/>
          <w:szCs w:val="21"/>
        </w:rPr>
        <w:t xml:space="preserve">　特に07シートのＣ案（口径別・標準逓増案）年間増収5,386,479千円は、調定データによる再計算では約13,800千円であり、約390倍の過大でした。あわせて、案3-Aが少量利用者に負担が偏る配分となることを明らかにしています。</w:t>
      </w:r>
    </w:p>
    <w:p>
      <w:r>
        <w:br w:type="page"/>
      </w:r>
    </w:p>
    <w:p>
      <w:pPr>
        <w:pStyle w:val="Heading1"/>
        <w:pBdr>
          <w:bottom w:val="single" w:color="1F3864" w:sz="12" w:space="4"/>
        </w:pBdr>
        <w:spacing w:after="220" w:before="480"/>
      </w:pPr>
      <w:r>
        <w:rPr>
          <w:rFonts w:ascii="ＭＳ ゴシック" w:cs="ＭＳ ゴシック" w:eastAsia="ＭＳ ゴシック" w:hAnsi="ＭＳ ゴシック"/>
          <w:b/>
          <w:bCs/>
          <w:color w:val="1F3864"/>
          <w:sz w:val="28"/>
          <w:szCs w:val="28"/>
        </w:rPr>
        <w:t xml:space="preserve">第２章　過年度決算の修正の内容</w:t>
      </w:r>
    </w:p>
    <w:p>
      <w:pPr>
        <w:spacing w:after="120" w:before="0" w:line="300"/>
        <w:jc w:val="both"/>
      </w:pPr>
      <w:r>
        <w:rPr>
          <w:rFonts w:ascii="ＭＳ 明朝" w:cs="ＭＳ 明朝" w:eastAsia="ＭＳ 明朝" w:hAnsi="ＭＳ 明朝"/>
          <w:b w:val="false"/>
          <w:bCs w:val="false"/>
          <w:color w:val="000000"/>
          <w:sz w:val="21"/>
          <w:szCs w:val="21"/>
        </w:rPr>
        <w:t xml:space="preserve">　決算審査意見書「参考　過年度審査指摘事項」に記載された、令和６年度決算における修正前・修正後の額です。いずれも令和７年度決算において特別損益を計上のうえ処理済みとされています。</w:t>
      </w:r>
    </w:p>
    <w:p>
      <w:pPr>
        <w:pStyle w:val="Heading2"/>
        <w:spacing w:after="140" w:before="320"/>
      </w:pPr>
      <w:r>
        <w:rPr>
          <w:rFonts w:ascii="ＭＳ ゴシック" w:cs="ＭＳ ゴシック" w:eastAsia="ＭＳ ゴシック" w:hAnsi="ＭＳ ゴシック"/>
          <w:b/>
          <w:bCs/>
          <w:color w:val="2E75B6"/>
          <w:sz w:val="23"/>
          <w:szCs w:val="23"/>
        </w:rPr>
        <w:t xml:space="preserve">２－１　上水道事業（４件・11項目）</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1700"/>
        <w:gridCol w:w="3100"/>
        <w:gridCol w:w="1650"/>
        <w:gridCol w:w="1650"/>
        <w:gridCol w:w="1500"/>
      </w:tblGrid>
      <w:tr>
        <w:trPr>
          <w:tblHeader/>
        </w:trPr>
        <w:tc>
          <w:tcPr>
            <w:tcW w:type="dxa" w:w="17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7"/>
                <w:szCs w:val="17"/>
              </w:rPr>
              <w:t xml:space="preserve">区　分</w:t>
            </w:r>
          </w:p>
        </w:tc>
        <w:tc>
          <w:tcPr>
            <w:tcW w:type="dxa" w:w="31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7"/>
                <w:szCs w:val="17"/>
              </w:rPr>
              <w:t xml:space="preserve">指摘箇所</w:t>
            </w:r>
          </w:p>
        </w:tc>
        <w:tc>
          <w:tcPr>
            <w:tcW w:type="dxa" w:w="165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7"/>
                <w:szCs w:val="17"/>
              </w:rPr>
              <w:t xml:space="preserve">修正前（円）</w:t>
            </w:r>
          </w:p>
        </w:tc>
        <w:tc>
          <w:tcPr>
            <w:tcW w:type="dxa" w:w="165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7"/>
                <w:szCs w:val="17"/>
              </w:rPr>
              <w:t xml:space="preserve">修正後（円）</w:t>
            </w:r>
          </w:p>
        </w:tc>
        <w:tc>
          <w:tcPr>
            <w:tcW w:type="dxa" w:w="15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7"/>
                <w:szCs w:val="17"/>
              </w:rPr>
              <w:t xml:space="preserve">増減（円）</w:t>
            </w:r>
          </w:p>
        </w:tc>
      </w:tr>
      <w:tr>
        <w:tc>
          <w:tcPr>
            <w:tcW w:type="dxa" w:w="17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① 資本剰余金</w:t>
            </w:r>
          </w:p>
        </w:tc>
        <w:tc>
          <w:tcPr>
            <w:tcW w:type="dxa" w:w="3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剰余金　資本剰余金（補助金）</w:t>
            </w:r>
          </w:p>
        </w:tc>
        <w:tc>
          <w:tcPr>
            <w:tcW w:type="dxa" w:w="16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5,812,974,385</w:t>
            </w:r>
          </w:p>
        </w:tc>
        <w:tc>
          <w:tcPr>
            <w:tcW w:type="dxa" w:w="16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239,689,468</w:t>
            </w:r>
          </w:p>
        </w:tc>
        <w:tc>
          <w:tcPr>
            <w:tcW w:type="dxa" w:w="15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-5,573,284,917</w:t>
            </w:r>
          </w:p>
        </w:tc>
      </w:tr>
      <w:tr>
        <w:tc>
          <w:tcPr>
            <w:tcW w:type="dxa" w:w="17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
            </w:r>
          </w:p>
        </w:tc>
        <w:tc>
          <w:tcPr>
            <w:tcW w:type="dxa" w:w="31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繰延収益　長期前受金</w:t>
            </w:r>
          </w:p>
        </w:tc>
        <w:tc>
          <w:tcPr>
            <w:tcW w:type="dxa" w:w="165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5,477,657,479</w:t>
            </w:r>
          </w:p>
        </w:tc>
        <w:tc>
          <w:tcPr>
            <w:tcW w:type="dxa" w:w="165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11,050,942,396</w:t>
            </w:r>
          </w:p>
        </w:tc>
        <w:tc>
          <w:tcPr>
            <w:tcW w:type="dxa" w:w="15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5,573,284,917</w:t>
            </w:r>
          </w:p>
        </w:tc>
      </w:tr>
      <w:tr>
        <w:tc>
          <w:tcPr>
            <w:tcW w:type="dxa" w:w="17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② その他流動資産</w:t>
            </w:r>
          </w:p>
        </w:tc>
        <w:tc>
          <w:tcPr>
            <w:tcW w:type="dxa" w:w="3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流動資産　その他流動資産</w:t>
            </w:r>
          </w:p>
        </w:tc>
        <w:tc>
          <w:tcPr>
            <w:tcW w:type="dxa" w:w="16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169,933,187</w:t>
            </w:r>
          </w:p>
        </w:tc>
        <w:tc>
          <w:tcPr>
            <w:tcW w:type="dxa" w:w="16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0</w:t>
            </w:r>
          </w:p>
        </w:tc>
        <w:tc>
          <w:tcPr>
            <w:tcW w:type="dxa" w:w="15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-169,933,187</w:t>
            </w:r>
          </w:p>
        </w:tc>
      </w:tr>
      <w:tr>
        <w:tc>
          <w:tcPr>
            <w:tcW w:type="dxa" w:w="17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③ 減価償却等の</w:t>
            </w:r>
          </w:p>
          <w:p>
            <w:pPr>
              <w:spacing w:after="0" w:before="0" w:line="240"/>
              <w:jc w:val="left"/>
            </w:pPr>
            <w:r>
              <w:rPr>
                <w:rFonts w:ascii="ＭＳ ゴシック" w:cs="ＭＳ ゴシック" w:eastAsia="ＭＳ ゴシック" w:hAnsi="ＭＳ ゴシック"/>
                <w:b w:val="false"/>
                <w:bCs w:val="false"/>
                <w:color w:val="000000"/>
                <w:sz w:val="17"/>
                <w:szCs w:val="17"/>
              </w:rPr>
              <w:t xml:space="preserve">　 処理誤り</w:t>
            </w:r>
          </w:p>
        </w:tc>
        <w:tc>
          <w:tcPr>
            <w:tcW w:type="dxa" w:w="31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建物減価償却累計額</w:t>
            </w:r>
          </w:p>
        </w:tc>
        <w:tc>
          <w:tcPr>
            <w:tcW w:type="dxa" w:w="165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-121,601,517</w:t>
            </w:r>
          </w:p>
        </w:tc>
        <w:tc>
          <w:tcPr>
            <w:tcW w:type="dxa" w:w="165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-131,734,934</w:t>
            </w:r>
          </w:p>
        </w:tc>
        <w:tc>
          <w:tcPr>
            <w:tcW w:type="dxa" w:w="15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-10,133,417</w:t>
            </w:r>
          </w:p>
        </w:tc>
      </w:tr>
      <w:tr>
        <w:tc>
          <w:tcPr>
            <w:tcW w:type="dxa" w:w="17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
            </w:r>
          </w:p>
        </w:tc>
        <w:tc>
          <w:tcPr>
            <w:tcW w:type="dxa" w:w="3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構築物減価償却累計額</w:t>
            </w:r>
          </w:p>
        </w:tc>
        <w:tc>
          <w:tcPr>
            <w:tcW w:type="dxa" w:w="16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-1,564,522,418</w:t>
            </w:r>
          </w:p>
        </w:tc>
        <w:tc>
          <w:tcPr>
            <w:tcW w:type="dxa" w:w="16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-3,031,943,076</w:t>
            </w:r>
          </w:p>
        </w:tc>
        <w:tc>
          <w:tcPr>
            <w:tcW w:type="dxa" w:w="15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-1,467,420,658</w:t>
            </w:r>
          </w:p>
        </w:tc>
      </w:tr>
      <w:tr>
        <w:tc>
          <w:tcPr>
            <w:tcW w:type="dxa" w:w="17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
            </w:r>
          </w:p>
        </w:tc>
        <w:tc>
          <w:tcPr>
            <w:tcW w:type="dxa" w:w="31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機械及び装置減価償却累計額</w:t>
            </w:r>
          </w:p>
        </w:tc>
        <w:tc>
          <w:tcPr>
            <w:tcW w:type="dxa" w:w="165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-1,080,753,034</w:t>
            </w:r>
          </w:p>
        </w:tc>
        <w:tc>
          <w:tcPr>
            <w:tcW w:type="dxa" w:w="165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-1,759,309,677</w:t>
            </w:r>
          </w:p>
        </w:tc>
        <w:tc>
          <w:tcPr>
            <w:tcW w:type="dxa" w:w="15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-678,556,643</w:t>
            </w:r>
          </w:p>
        </w:tc>
      </w:tr>
      <w:tr>
        <w:tc>
          <w:tcPr>
            <w:tcW w:type="dxa" w:w="17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
            </w:r>
          </w:p>
        </w:tc>
        <w:tc>
          <w:tcPr>
            <w:tcW w:type="dxa" w:w="3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繰延収益　長期前受金収益化累計額</w:t>
            </w:r>
          </w:p>
        </w:tc>
        <w:tc>
          <w:tcPr>
            <w:tcW w:type="dxa" w:w="16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-2,467,811,261</w:t>
            </w:r>
          </w:p>
        </w:tc>
        <w:tc>
          <w:tcPr>
            <w:tcW w:type="dxa" w:w="16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-3,234,327,941</w:t>
            </w:r>
          </w:p>
        </w:tc>
        <w:tc>
          <w:tcPr>
            <w:tcW w:type="dxa" w:w="15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-766,516,680</w:t>
            </w:r>
          </w:p>
        </w:tc>
      </w:tr>
      <w:tr>
        <w:tc>
          <w:tcPr>
            <w:tcW w:type="dxa" w:w="17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④ 量水器の</w:t>
            </w:r>
          </w:p>
          <w:p>
            <w:pPr>
              <w:spacing w:after="0" w:before="0" w:line="240"/>
              <w:jc w:val="left"/>
            </w:pPr>
            <w:r>
              <w:rPr>
                <w:rFonts w:ascii="ＭＳ ゴシック" w:cs="ＭＳ ゴシック" w:eastAsia="ＭＳ ゴシック" w:hAnsi="ＭＳ ゴシック"/>
                <w:b w:val="false"/>
                <w:bCs w:val="false"/>
                <w:color w:val="000000"/>
                <w:sz w:val="17"/>
                <w:szCs w:val="17"/>
              </w:rPr>
              <w:t xml:space="preserve">　 管理不十分</w:t>
            </w:r>
          </w:p>
        </w:tc>
        <w:tc>
          <w:tcPr>
            <w:tcW w:type="dxa" w:w="31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固定資産　量水器</w:t>
            </w:r>
          </w:p>
        </w:tc>
        <w:tc>
          <w:tcPr>
            <w:tcW w:type="dxa" w:w="165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14,171,669</w:t>
            </w:r>
          </w:p>
        </w:tc>
        <w:tc>
          <w:tcPr>
            <w:tcW w:type="dxa" w:w="165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10,543,340</w:t>
            </w:r>
          </w:p>
        </w:tc>
        <w:tc>
          <w:tcPr>
            <w:tcW w:type="dxa" w:w="15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-3,628,329</w:t>
            </w:r>
          </w:p>
        </w:tc>
      </w:tr>
      <w:tr>
        <w:tc>
          <w:tcPr>
            <w:tcW w:type="dxa" w:w="17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
            </w:r>
          </w:p>
        </w:tc>
        <w:tc>
          <w:tcPr>
            <w:tcW w:type="dxa" w:w="3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固定資産　量水器減価償却累計額</w:t>
            </w:r>
          </w:p>
        </w:tc>
        <w:tc>
          <w:tcPr>
            <w:tcW w:type="dxa" w:w="16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-10,635,904</w:t>
            </w:r>
          </w:p>
        </w:tc>
        <w:tc>
          <w:tcPr>
            <w:tcW w:type="dxa" w:w="16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-2,285,255</w:t>
            </w:r>
          </w:p>
        </w:tc>
        <w:tc>
          <w:tcPr>
            <w:tcW w:type="dxa" w:w="15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8,350,649</w:t>
            </w:r>
          </w:p>
        </w:tc>
      </w:tr>
      <w:tr>
        <w:tc>
          <w:tcPr>
            <w:tcW w:type="dxa" w:w="17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
            </w:r>
          </w:p>
        </w:tc>
        <w:tc>
          <w:tcPr>
            <w:tcW w:type="dxa" w:w="31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建設仮勘定</w:t>
            </w:r>
          </w:p>
        </w:tc>
        <w:tc>
          <w:tcPr>
            <w:tcW w:type="dxa" w:w="165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177,558</w:t>
            </w:r>
          </w:p>
        </w:tc>
        <w:tc>
          <w:tcPr>
            <w:tcW w:type="dxa" w:w="165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0</w:t>
            </w:r>
          </w:p>
        </w:tc>
        <w:tc>
          <w:tcPr>
            <w:tcW w:type="dxa" w:w="15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-177,558</w:t>
            </w:r>
          </w:p>
        </w:tc>
      </w:tr>
      <w:tr>
        <w:tc>
          <w:tcPr>
            <w:tcW w:type="dxa" w:w="17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
            </w:r>
          </w:p>
        </w:tc>
        <w:tc>
          <w:tcPr>
            <w:tcW w:type="dxa" w:w="3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流動資産　貯蔵品</w:t>
            </w:r>
          </w:p>
        </w:tc>
        <w:tc>
          <w:tcPr>
            <w:tcW w:type="dxa" w:w="16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5,303,463</w:t>
            </w:r>
          </w:p>
        </w:tc>
        <w:tc>
          <w:tcPr>
            <w:tcW w:type="dxa" w:w="16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1,680,250</w:t>
            </w:r>
          </w:p>
        </w:tc>
        <w:tc>
          <w:tcPr>
            <w:tcW w:type="dxa" w:w="15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-3,623,213</w:t>
            </w:r>
          </w:p>
        </w:tc>
      </w:tr>
    </w:tbl>
    <w:p>
      <w:pPr>
        <w:spacing w:after="120"/>
      </w:pPr>
    </w:p>
    <w:p>
      <w:pPr>
        <w:spacing w:after="60" w:before="40" w:line="260"/>
        <w:ind w:left="200"/>
      </w:pPr>
      <w:r>
        <w:rPr>
          <w:rFonts w:ascii="ＭＳ 明朝" w:cs="ＭＳ 明朝" w:eastAsia="ＭＳ 明朝" w:hAnsi="ＭＳ 明朝"/>
          <w:color w:val="404040"/>
          <w:sz w:val="18"/>
          <w:szCs w:val="18"/>
        </w:rPr>
        <w:t xml:space="preserve">① 平成23年度の地方公営企業会計基準の見直し（平成26年度決算から適用）が未対応で、資本剰余金5,573,284,917円を繰延収益の長期前受金に振り替える必要があった。</w:t>
      </w:r>
    </w:p>
    <w:p>
      <w:pPr>
        <w:spacing w:after="60" w:before="40" w:line="260"/>
        <w:ind w:left="200"/>
      </w:pPr>
      <w:r>
        <w:rPr>
          <w:rFonts w:ascii="ＭＳ 明朝" w:cs="ＭＳ 明朝" w:eastAsia="ＭＳ 明朝" w:hAnsi="ＭＳ 明朝"/>
          <w:color w:val="404040"/>
          <w:sz w:val="18"/>
          <w:szCs w:val="18"/>
        </w:rPr>
        <w:t xml:space="preserve">② 平成29〜令和２年度の消費税申告に係る仮払消費税の取崩し処理で、還付金を未収金で消込漏れとなり不用額となっていた。全額を特別損失として処理。</w:t>
      </w:r>
    </w:p>
    <w:p>
      <w:pPr>
        <w:spacing w:after="60" w:before="40" w:line="260"/>
        <w:ind w:left="200"/>
      </w:pPr>
      <w:r>
        <w:rPr>
          <w:rFonts w:ascii="ＭＳ 明朝" w:cs="ＭＳ 明朝" w:eastAsia="ＭＳ 明朝" w:hAnsi="ＭＳ 明朝"/>
          <w:color w:val="404040"/>
          <w:sz w:val="18"/>
          <w:szCs w:val="18"/>
        </w:rPr>
        <w:t xml:space="preserve">③ 決算書の固定資産明細書と貸借対照表の計数不一致。令和３年度の特別損益の未処理が原因。特別利益・特別損失を計上のうえ処理。</w:t>
      </w:r>
    </w:p>
    <w:p>
      <w:pPr>
        <w:spacing w:after="60" w:before="40" w:line="260"/>
        <w:ind w:left="200"/>
      </w:pPr>
      <w:r>
        <w:rPr>
          <w:rFonts w:ascii="ＭＳ 明朝" w:cs="ＭＳ 明朝" w:eastAsia="ＭＳ 明朝" w:hAnsi="ＭＳ 明朝"/>
          <w:color w:val="404040"/>
          <w:sz w:val="18"/>
          <w:szCs w:val="18"/>
        </w:rPr>
        <w:t xml:space="preserve">④ 量水器の除却等の台帳未修正、現地未撤去、減価償却方法の誤りによる錯誤。特別損失を計上のうえ処理。</w:t>
      </w:r>
    </w:p>
    <w:p>
      <w:pPr>
        <w:pStyle w:val="Heading2"/>
        <w:spacing w:after="140" w:before="320"/>
      </w:pPr>
      <w:r>
        <w:rPr>
          <w:rFonts w:ascii="ＭＳ ゴシック" w:cs="ＭＳ ゴシック" w:eastAsia="ＭＳ ゴシック" w:hAnsi="ＭＳ ゴシック"/>
          <w:b/>
          <w:bCs/>
          <w:color w:val="2E75B6"/>
          <w:sz w:val="23"/>
          <w:szCs w:val="23"/>
        </w:rPr>
        <w:t xml:space="preserve">２－２　下水道事業（２件・３項目）</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1700"/>
        <w:gridCol w:w="3100"/>
        <w:gridCol w:w="1650"/>
        <w:gridCol w:w="1650"/>
        <w:gridCol w:w="1500"/>
      </w:tblGrid>
      <w:tr>
        <w:trPr>
          <w:tblHeader/>
        </w:trPr>
        <w:tc>
          <w:tcPr>
            <w:tcW w:type="dxa" w:w="17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7"/>
                <w:szCs w:val="17"/>
              </w:rPr>
              <w:t xml:space="preserve">区　分</w:t>
            </w:r>
          </w:p>
        </w:tc>
        <w:tc>
          <w:tcPr>
            <w:tcW w:type="dxa" w:w="31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7"/>
                <w:szCs w:val="17"/>
              </w:rPr>
              <w:t xml:space="preserve">指摘箇所</w:t>
            </w:r>
          </w:p>
        </w:tc>
        <w:tc>
          <w:tcPr>
            <w:tcW w:type="dxa" w:w="165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7"/>
                <w:szCs w:val="17"/>
              </w:rPr>
              <w:t xml:space="preserve">修正前（円）</w:t>
            </w:r>
          </w:p>
        </w:tc>
        <w:tc>
          <w:tcPr>
            <w:tcW w:type="dxa" w:w="165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7"/>
                <w:szCs w:val="17"/>
              </w:rPr>
              <w:t xml:space="preserve">修正後（円）</w:t>
            </w:r>
          </w:p>
        </w:tc>
        <w:tc>
          <w:tcPr>
            <w:tcW w:type="dxa" w:w="15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7"/>
                <w:szCs w:val="17"/>
              </w:rPr>
              <w:t xml:space="preserve">増減（円）</w:t>
            </w:r>
          </w:p>
        </w:tc>
      </w:tr>
      <w:tr>
        <w:tc>
          <w:tcPr>
            <w:tcW w:type="dxa" w:w="17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① 施設利用権の</w:t>
            </w:r>
          </w:p>
          <w:p>
            <w:pPr>
              <w:spacing w:after="0" w:before="0" w:line="240"/>
              <w:jc w:val="left"/>
            </w:pPr>
            <w:r>
              <w:rPr>
                <w:rFonts w:ascii="ＭＳ ゴシック" w:cs="ＭＳ ゴシック" w:eastAsia="ＭＳ ゴシック" w:hAnsi="ＭＳ ゴシック"/>
                <w:b w:val="false"/>
                <w:bCs w:val="false"/>
                <w:color w:val="000000"/>
                <w:sz w:val="17"/>
                <w:szCs w:val="17"/>
              </w:rPr>
              <w:t xml:space="preserve">　 減価償却誤り</w:t>
            </w:r>
          </w:p>
        </w:tc>
        <w:tc>
          <w:tcPr>
            <w:tcW w:type="dxa" w:w="3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無形固定資産　施設利用権</w:t>
            </w:r>
          </w:p>
        </w:tc>
        <w:tc>
          <w:tcPr>
            <w:tcW w:type="dxa" w:w="16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1,187,111,818</w:t>
            </w:r>
          </w:p>
        </w:tc>
        <w:tc>
          <w:tcPr>
            <w:tcW w:type="dxa" w:w="16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1,018,241,974</w:t>
            </w:r>
          </w:p>
        </w:tc>
        <w:tc>
          <w:tcPr>
            <w:tcW w:type="dxa" w:w="15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-168,869,844</w:t>
            </w:r>
          </w:p>
        </w:tc>
      </w:tr>
      <w:tr>
        <w:tc>
          <w:tcPr>
            <w:tcW w:type="dxa" w:w="17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② 減価償却等の</w:t>
            </w:r>
          </w:p>
          <w:p>
            <w:pPr>
              <w:spacing w:after="0" w:before="0" w:line="240"/>
              <w:jc w:val="left"/>
            </w:pPr>
            <w:r>
              <w:rPr>
                <w:rFonts w:ascii="ＭＳ ゴシック" w:cs="ＭＳ ゴシック" w:eastAsia="ＭＳ ゴシック" w:hAnsi="ＭＳ ゴシック"/>
                <w:b w:val="false"/>
                <w:bCs w:val="false"/>
                <w:color w:val="000000"/>
                <w:sz w:val="17"/>
                <w:szCs w:val="17"/>
              </w:rPr>
              <w:t xml:space="preserve">　 処理誤り</w:t>
            </w:r>
          </w:p>
        </w:tc>
        <w:tc>
          <w:tcPr>
            <w:tcW w:type="dxa" w:w="31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固定資産　構築物減価償却累計額</w:t>
            </w:r>
          </w:p>
        </w:tc>
        <w:tc>
          <w:tcPr>
            <w:tcW w:type="dxa" w:w="165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-642,507,537</w:t>
            </w:r>
          </w:p>
        </w:tc>
        <w:tc>
          <w:tcPr>
            <w:tcW w:type="dxa" w:w="165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-643,047,483</w:t>
            </w:r>
          </w:p>
        </w:tc>
        <w:tc>
          <w:tcPr>
            <w:tcW w:type="dxa" w:w="15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-539,946</w:t>
            </w:r>
          </w:p>
        </w:tc>
      </w:tr>
      <w:tr>
        <w:tc>
          <w:tcPr>
            <w:tcW w:type="dxa" w:w="17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
            </w:r>
          </w:p>
        </w:tc>
        <w:tc>
          <w:tcPr>
            <w:tcW w:type="dxa" w:w="3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長期前受金収益化累計額</w:t>
            </w:r>
          </w:p>
        </w:tc>
        <w:tc>
          <w:tcPr>
            <w:tcW w:type="dxa" w:w="16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-542,089,066</w:t>
            </w:r>
          </w:p>
        </w:tc>
        <w:tc>
          <w:tcPr>
            <w:tcW w:type="dxa" w:w="16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-542,359,039</w:t>
            </w:r>
          </w:p>
        </w:tc>
        <w:tc>
          <w:tcPr>
            <w:tcW w:type="dxa" w:w="15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-269,973</w:t>
            </w:r>
          </w:p>
        </w:tc>
      </w:tr>
    </w:tbl>
    <w:p>
      <w:pPr>
        <w:spacing w:after="120"/>
      </w:pPr>
    </w:p>
    <w:p>
      <w:pPr>
        <w:spacing w:after="60" w:before="40" w:line="260"/>
        <w:ind w:left="200"/>
      </w:pPr>
      <w:r>
        <w:rPr>
          <w:rFonts w:ascii="ＭＳ 明朝" w:cs="ＭＳ 明朝" w:eastAsia="ＭＳ 明朝" w:hAnsi="ＭＳ 明朝"/>
          <w:color w:val="404040"/>
          <w:sz w:val="18"/>
          <w:szCs w:val="18"/>
        </w:rPr>
        <w:t xml:space="preserve">下水道事業の修正の純影響額は169,139,817円（欠損金の増加）＝資産の減少169,409,790円 － 繰延収益の減少269,973円。上水道と同様に令和７年度に特別損益として処理されている。</w:t>
      </w:r>
    </w:p>
    <w:p>
      <w:pPr>
        <w:pStyle w:val="Heading2"/>
        <w:spacing w:after="140" w:before="320"/>
      </w:pPr>
      <w:r>
        <w:rPr>
          <w:rFonts w:ascii="ＭＳ ゴシック" w:cs="ＭＳ ゴシック" w:eastAsia="ＭＳ ゴシック" w:hAnsi="ＭＳ ゴシック"/>
          <w:b/>
          <w:bCs/>
          <w:color w:val="2E75B6"/>
          <w:sz w:val="23"/>
          <w:szCs w:val="23"/>
        </w:rPr>
        <w:t xml:space="preserve">２－３　再発防止に関する指摘</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1900"/>
        <w:gridCol w:w="5000"/>
        <w:gridCol w:w="2700"/>
      </w:tblGrid>
      <w:tr>
        <w:trPr>
          <w:tblHeader/>
        </w:trPr>
        <w:tc>
          <w:tcPr>
            <w:tcW w:type="dxa" w:w="19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7"/>
                <w:szCs w:val="17"/>
              </w:rPr>
              <w:t xml:space="preserve">指摘事項</w:t>
            </w:r>
          </w:p>
        </w:tc>
        <w:tc>
          <w:tcPr>
            <w:tcW w:type="dxa" w:w="50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7"/>
                <w:szCs w:val="17"/>
              </w:rPr>
              <w:t xml:space="preserve">内　容</w:t>
            </w:r>
          </w:p>
        </w:tc>
        <w:tc>
          <w:tcPr>
            <w:tcW w:type="dxa" w:w="27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7"/>
                <w:szCs w:val="17"/>
              </w:rPr>
              <w:t xml:space="preserve">改善状況</w:t>
            </w:r>
          </w:p>
        </w:tc>
      </w:tr>
      <w:tr>
        <w:tc>
          <w:tcPr>
            <w:tcW w:type="dxa" w:w="1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組織体制・管理体制</w:t>
            </w:r>
          </w:p>
        </w:tc>
        <w:tc>
          <w:tcPr>
            <w:tcW w:type="dxa" w:w="50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伝票処理で担当者欄と責任者欄が同一者となる場合が多く、複数人での確認・検討がなされないまま処理が進んでいた。内部けん制組織が有効に機能していたとは言えない状況</w:t>
            </w:r>
          </w:p>
        </w:tc>
        <w:tc>
          <w:tcPr>
            <w:tcW w:type="dxa" w:w="27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指摘後、複数人での確認がなされ改善が認められる</w:t>
            </w:r>
          </w:p>
        </w:tc>
      </w:tr>
      <w:tr>
        <w:tc>
          <w:tcPr>
            <w:tcW w:type="dxa" w:w="19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人材育成</w:t>
            </w:r>
          </w:p>
        </w:tc>
        <w:tc>
          <w:tcPr>
            <w:tcW w:type="dxa" w:w="50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地方公営企業法適用事業は一般会計等と異なる部分が相当にあり、職員の公営企業に対する理解・知識習得等の人材育成に改善が必要</w:t>
            </w:r>
          </w:p>
        </w:tc>
        <w:tc>
          <w:tcPr>
            <w:tcW w:type="dxa" w:w="27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指摘後、複数人が研修受講をするなど改善が認められる</w:t>
            </w:r>
          </w:p>
        </w:tc>
      </w:tr>
    </w:tbl>
    <w:p>
      <w:r>
        <w:br w:type="page"/>
      </w:r>
    </w:p>
    <w:p>
      <w:pPr>
        <w:pStyle w:val="Heading1"/>
        <w:pBdr>
          <w:bottom w:val="single" w:color="1F3864" w:sz="12" w:space="4"/>
        </w:pBdr>
        <w:spacing w:after="220" w:before="480"/>
      </w:pPr>
      <w:r>
        <w:rPr>
          <w:rFonts w:ascii="ＭＳ ゴシック" w:cs="ＭＳ ゴシック" w:eastAsia="ＭＳ ゴシック" w:hAnsi="ＭＳ ゴシック"/>
          <w:b/>
          <w:bCs/>
          <w:color w:val="1F3864"/>
          <w:sz w:val="28"/>
          <w:szCs w:val="28"/>
        </w:rPr>
        <w:t xml:space="preserve">第３章　修正の純影響額の検証</w:t>
      </w:r>
    </w:p>
    <w:p>
      <w:pPr>
        <w:spacing w:after="120" w:before="0" w:line="300"/>
        <w:jc w:val="both"/>
      </w:pPr>
      <w:r>
        <w:rPr>
          <w:rFonts w:ascii="ＭＳ 明朝" w:cs="ＭＳ 明朝" w:eastAsia="ＭＳ 明朝" w:hAnsi="ＭＳ 明朝"/>
          <w:b w:val="false"/>
          <w:bCs w:val="false"/>
          <w:color w:val="000000"/>
          <w:sz w:val="21"/>
          <w:szCs w:val="21"/>
        </w:rPr>
        <w:t xml:space="preserve">　意見書に記載された修正前・修正後の額から、令和６年度末の貸借対照表を再構成し、その純影響額が令和７年度決算に計上された特別損益と整合するかを検証しました。</w:t>
      </w:r>
    </w:p>
    <w:p>
      <w:pPr>
        <w:pStyle w:val="Heading2"/>
        <w:spacing w:after="140" w:before="320"/>
      </w:pPr>
      <w:r>
        <w:rPr>
          <w:rFonts w:ascii="ＭＳ ゴシック" w:cs="ＭＳ ゴシック" w:eastAsia="ＭＳ ゴシック" w:hAnsi="ＭＳ ゴシック"/>
          <w:b/>
          <w:bCs/>
          <w:color w:val="2E75B6"/>
          <w:sz w:val="23"/>
          <w:szCs w:val="23"/>
        </w:rPr>
        <w:t xml:space="preserve">３－１　令和６年度末貸借対照表の再構成</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2500"/>
        <w:gridCol w:w="1700"/>
        <w:gridCol w:w="1700"/>
        <w:gridCol w:w="3700"/>
      </w:tblGrid>
      <w:tr>
        <w:trPr>
          <w:tblHeader/>
        </w:trPr>
        <w:tc>
          <w:tcPr>
            <w:tcW w:type="dxa" w:w="25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項　目</w:t>
            </w:r>
          </w:p>
        </w:tc>
        <w:tc>
          <w:tcPr>
            <w:tcW w:type="dxa" w:w="17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修正前（円）</w:t>
            </w:r>
          </w:p>
        </w:tc>
        <w:tc>
          <w:tcPr>
            <w:tcW w:type="dxa" w:w="17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修正後（円）</w:t>
            </w:r>
          </w:p>
        </w:tc>
        <w:tc>
          <w:tcPr>
            <w:tcW w:type="dxa" w:w="37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増減と内訳</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有形固定資産（償却未済高）</w:t>
            </w:r>
          </w:p>
        </w:tc>
        <w:tc>
          <w:tcPr>
            <w:tcW w:type="dxa" w:w="17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11,569,450,875</w:t>
            </w:r>
          </w:p>
        </w:tc>
        <w:tc>
          <w:tcPr>
            <w:tcW w:type="dxa" w:w="17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9,417,884,919</w:t>
            </w:r>
          </w:p>
        </w:tc>
        <w:tc>
          <w:tcPr>
            <w:tcW w:type="dxa" w:w="37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△2,151,565,956　＝減価償却累計額の増2,147,760,069＋量水器帳簿原価の減3,628,329＋建設仮勘定の減177,558</w:t>
            </w:r>
          </w:p>
        </w:tc>
      </w:tr>
      <w:tr>
        <w:tc>
          <w:tcPr>
            <w:tcW w:type="dxa" w:w="2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無形固定資産</w:t>
            </w:r>
          </w:p>
        </w:tc>
        <w:tc>
          <w:tcPr>
            <w:tcW w:type="dxa" w:w="17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1,889,200</w:t>
            </w:r>
          </w:p>
        </w:tc>
        <w:tc>
          <w:tcPr>
            <w:tcW w:type="dxa" w:w="17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1,889,200</w:t>
            </w:r>
          </w:p>
        </w:tc>
        <w:tc>
          <w:tcPr>
            <w:tcW w:type="dxa" w:w="37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修正なし</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流動資産合計</w:t>
            </w:r>
          </w:p>
        </w:tc>
        <w:tc>
          <w:tcPr>
            <w:tcW w:type="dxa" w:w="17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417,612,331</w:t>
            </w:r>
          </w:p>
        </w:tc>
        <w:tc>
          <w:tcPr>
            <w:tcW w:type="dxa" w:w="17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244,055,931</w:t>
            </w:r>
          </w:p>
        </w:tc>
        <w:tc>
          <w:tcPr>
            <w:tcW w:type="dxa" w:w="37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△173,556,400　＝その他流動資産169,933,187＋貯蔵品3,623,213</w:t>
            </w:r>
          </w:p>
        </w:tc>
      </w:tr>
      <w:tr>
        <w:tc>
          <w:tcPr>
            <w:tcW w:type="dxa" w:w="25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6"/>
                <w:szCs w:val="16"/>
              </w:rPr>
              <w:t xml:space="preserve">資産合計</w:t>
            </w:r>
          </w:p>
        </w:tc>
        <w:tc>
          <w:tcPr>
            <w:tcW w:type="dxa" w:w="17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11,988,952,406</w:t>
            </w:r>
          </w:p>
        </w:tc>
        <w:tc>
          <w:tcPr>
            <w:tcW w:type="dxa" w:w="17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9,663,830,050</w:t>
            </w:r>
          </w:p>
        </w:tc>
        <w:tc>
          <w:tcPr>
            <w:tcW w:type="dxa" w:w="37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6"/>
                <w:szCs w:val="16"/>
              </w:rPr>
              <w:t xml:space="preserve">△2,325,122,356</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負債合計（固定＋流動）</w:t>
            </w:r>
          </w:p>
        </w:tc>
        <w:tc>
          <w:tcPr>
            <w:tcW w:type="dxa" w:w="17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1,190,291,617</w:t>
            </w:r>
          </w:p>
        </w:tc>
        <w:tc>
          <w:tcPr>
            <w:tcW w:type="dxa" w:w="17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1,190,291,617</w:t>
            </w:r>
          </w:p>
        </w:tc>
        <w:tc>
          <w:tcPr>
            <w:tcW w:type="dxa" w:w="37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修正の影響なし（企業債・未払金等）</w:t>
            </w:r>
          </w:p>
        </w:tc>
      </w:tr>
      <w:tr>
        <w:tc>
          <w:tcPr>
            <w:tcW w:type="dxa" w:w="2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繰延収益</w:t>
            </w:r>
          </w:p>
        </w:tc>
        <w:tc>
          <w:tcPr>
            <w:tcW w:type="dxa" w:w="17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3,009,846,218</w:t>
            </w:r>
          </w:p>
        </w:tc>
        <w:tc>
          <w:tcPr>
            <w:tcW w:type="dxa" w:w="17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7,816,614,455</w:t>
            </w:r>
          </w:p>
        </w:tc>
        <w:tc>
          <w:tcPr>
            <w:tcW w:type="dxa" w:w="37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＋4,806,768,237　＝長期前受金＋5,573,284,917、収益化累計額△766,516,680</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資本金</w:t>
            </w:r>
          </w:p>
        </w:tc>
        <w:tc>
          <w:tcPr>
            <w:tcW w:type="dxa" w:w="17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1,384,031,753</w:t>
            </w:r>
          </w:p>
        </w:tc>
        <w:tc>
          <w:tcPr>
            <w:tcW w:type="dxa" w:w="17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1,384,031,753</w:t>
            </w:r>
          </w:p>
        </w:tc>
        <w:tc>
          <w:tcPr>
            <w:tcW w:type="dxa" w:w="37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修正なし</w:t>
            </w:r>
          </w:p>
        </w:tc>
      </w:tr>
      <w:tr>
        <w:tc>
          <w:tcPr>
            <w:tcW w:type="dxa" w:w="2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資本剰余金</w:t>
            </w:r>
          </w:p>
        </w:tc>
        <w:tc>
          <w:tcPr>
            <w:tcW w:type="dxa" w:w="17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7,559,417,559</w:t>
            </w:r>
          </w:p>
        </w:tc>
        <w:tc>
          <w:tcPr>
            <w:tcW w:type="dxa" w:w="17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1,986,132,642</w:t>
            </w:r>
          </w:p>
        </w:tc>
        <w:tc>
          <w:tcPr>
            <w:tcW w:type="dxa" w:w="37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△5,573,284,917　＝補助金から長期前受金への振替</w:t>
            </w:r>
          </w:p>
        </w:tc>
      </w:tr>
      <w:tr>
        <w:tc>
          <w:tcPr>
            <w:tcW w:type="dxa" w:w="25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6"/>
                <w:szCs w:val="16"/>
              </w:rPr>
              <w:t xml:space="preserve">利益剰余金（未処理欠損金）</w:t>
            </w:r>
          </w:p>
        </w:tc>
        <w:tc>
          <w:tcPr>
            <w:tcW w:type="dxa" w:w="17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△1,154,634,741</w:t>
            </w:r>
          </w:p>
        </w:tc>
        <w:tc>
          <w:tcPr>
            <w:tcW w:type="dxa" w:w="17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△2,713,240,417</w:t>
            </w:r>
          </w:p>
        </w:tc>
        <w:tc>
          <w:tcPr>
            <w:tcW w:type="dxa" w:w="37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6"/>
                <w:szCs w:val="16"/>
              </w:rPr>
              <w:t xml:space="preserve">△1,558,605,676（欠損金の増加）</w:t>
            </w:r>
          </w:p>
        </w:tc>
      </w:tr>
      <w:tr>
        <w:tc>
          <w:tcPr>
            <w:tcW w:type="dxa" w:w="2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資本合計</w:t>
            </w:r>
          </w:p>
        </w:tc>
        <w:tc>
          <w:tcPr>
            <w:tcW w:type="dxa" w:w="17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7,788,814,571</w:t>
            </w:r>
          </w:p>
        </w:tc>
        <w:tc>
          <w:tcPr>
            <w:tcW w:type="dxa" w:w="17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656,923,978</w:t>
            </w:r>
          </w:p>
        </w:tc>
        <w:tc>
          <w:tcPr>
            <w:tcW w:type="dxa" w:w="37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△7,131,890,593</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自己資本（資本合計＋繰延収益）</w:t>
            </w:r>
          </w:p>
        </w:tc>
        <w:tc>
          <w:tcPr>
            <w:tcW w:type="dxa" w:w="17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10,798,660,789</w:t>
            </w:r>
          </w:p>
        </w:tc>
        <w:tc>
          <w:tcPr>
            <w:tcW w:type="dxa" w:w="17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8,473,538,433</w:t>
            </w:r>
          </w:p>
        </w:tc>
        <w:tc>
          <w:tcPr>
            <w:tcW w:type="dxa" w:w="37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△2,325,122,356</w:t>
            </w:r>
          </w:p>
        </w:tc>
      </w:tr>
    </w:tbl>
    <w:p>
      <w:pPr>
        <w:pStyle w:val="Heading2"/>
        <w:spacing w:after="140" w:before="320"/>
      </w:pPr>
      <w:r>
        <w:rPr>
          <w:rFonts w:ascii="ＭＳ ゴシック" w:cs="ＭＳ ゴシック" w:eastAsia="ＭＳ ゴシック" w:hAnsi="ＭＳ ゴシック"/>
          <w:b/>
          <w:bCs/>
          <w:color w:val="2E75B6"/>
          <w:sz w:val="23"/>
          <w:szCs w:val="23"/>
        </w:rPr>
        <w:t xml:space="preserve">３－２　貸借対照表等式による検算</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2600"/>
        <w:gridCol w:w="1900"/>
        <w:gridCol w:w="5100"/>
      </w:tblGrid>
      <w:tr>
        <w:trPr>
          <w:tblHeader/>
        </w:trPr>
        <w:tc>
          <w:tcPr>
            <w:tcW w:type="dxa" w:w="26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7"/>
                <w:szCs w:val="17"/>
              </w:rPr>
              <w:t xml:space="preserve">算　式</w:t>
            </w:r>
          </w:p>
        </w:tc>
        <w:tc>
          <w:tcPr>
            <w:tcW w:type="dxa" w:w="19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7"/>
                <w:szCs w:val="17"/>
              </w:rPr>
              <w:t xml:space="preserve">金額（円）</w:t>
            </w:r>
          </w:p>
        </w:tc>
        <w:tc>
          <w:tcPr>
            <w:tcW w:type="dxa" w:w="51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7"/>
                <w:szCs w:val="17"/>
              </w:rPr>
              <w:t xml:space="preserve">説　明</w:t>
            </w:r>
          </w:p>
        </w:tc>
      </w:tr>
      <w:tr>
        <w:tc>
          <w:tcPr>
            <w:tcW w:type="dxa" w:w="26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資産の減少</w:t>
            </w:r>
          </w:p>
        </w:tc>
        <w:tc>
          <w:tcPr>
            <w:tcW w:type="dxa" w:w="19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△2,325,122,356</w:t>
            </w:r>
          </w:p>
        </w:tc>
        <w:tc>
          <w:tcPr>
            <w:tcW w:type="dxa" w:w="5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有形固定資産の減＋流動資産の減</w:t>
            </w:r>
          </w:p>
        </w:tc>
      </w:tr>
      <w:tr>
        <w:tc>
          <w:tcPr>
            <w:tcW w:type="dxa" w:w="26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繰延収益の増加</w:t>
            </w:r>
          </w:p>
        </w:tc>
        <w:tc>
          <w:tcPr>
            <w:tcW w:type="dxa" w:w="19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＋4,806,768,237</w:t>
            </w:r>
          </w:p>
        </w:tc>
        <w:tc>
          <w:tcPr>
            <w:tcW w:type="dxa" w:w="51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長期前受金への振替と収益化累計額の追加計上</w:t>
            </w:r>
          </w:p>
        </w:tc>
      </w:tr>
      <w:tr>
        <w:tc>
          <w:tcPr>
            <w:tcW w:type="dxa" w:w="26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資本剰余金の減少</w:t>
            </w:r>
          </w:p>
        </w:tc>
        <w:tc>
          <w:tcPr>
            <w:tcW w:type="dxa" w:w="19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△5,573,284,917</w:t>
            </w:r>
          </w:p>
        </w:tc>
        <w:tc>
          <w:tcPr>
            <w:tcW w:type="dxa" w:w="5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補助金から長期前受金への振替</w:t>
            </w:r>
          </w:p>
        </w:tc>
      </w:tr>
      <w:tr>
        <w:tc>
          <w:tcPr>
            <w:tcW w:type="dxa" w:w="2600"/>
            <w:shd w:fill="E2F0D9"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7"/>
                <w:szCs w:val="17"/>
              </w:rPr>
              <w:t xml:space="preserve">差引＝未処理欠損金の増加</w:t>
            </w:r>
          </w:p>
        </w:tc>
        <w:tc>
          <w:tcPr>
            <w:tcW w:type="dxa" w:w="1900"/>
            <w:shd w:fill="E2F0D9"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7"/>
                <w:szCs w:val="17"/>
              </w:rPr>
              <w:t xml:space="preserve">△1,558,605,676</w:t>
            </w:r>
          </w:p>
        </w:tc>
        <w:tc>
          <w:tcPr>
            <w:tcW w:type="dxa" w:w="5100"/>
            <w:shd w:fill="E2F0D9"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7"/>
                <w:szCs w:val="17"/>
              </w:rPr>
              <w:t xml:space="preserve">△2,325,122,356 ＝ ＋4,806,768,237 △5,573,284,917 △1,558,605,676　等式が成立</w:t>
            </w:r>
          </w:p>
        </w:tc>
      </w:tr>
    </w:tbl>
    <w:p>
      <w:pPr>
        <w:pStyle w:val="Heading2"/>
        <w:spacing w:after="140" w:before="320"/>
      </w:pPr>
      <w:r>
        <w:rPr>
          <w:rFonts w:ascii="ＭＳ ゴシック" w:cs="ＭＳ ゴシック" w:eastAsia="ＭＳ ゴシック" w:hAnsi="ＭＳ ゴシック"/>
          <w:b/>
          <w:bCs/>
          <w:color w:val="2E75B6"/>
          <w:sz w:val="23"/>
          <w:szCs w:val="23"/>
        </w:rPr>
        <w:t xml:space="preserve">３－３　令和７年度決算の特別損益との照合</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3100"/>
        <w:gridCol w:w="2000"/>
        <w:gridCol w:w="4500"/>
      </w:tblGrid>
      <w:tr>
        <w:trPr>
          <w:tblHeader/>
        </w:trPr>
        <w:tc>
          <w:tcPr>
            <w:tcW w:type="dxa" w:w="31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7"/>
                <w:szCs w:val="17"/>
              </w:rPr>
              <w:t xml:space="preserve">項　目</w:t>
            </w:r>
          </w:p>
        </w:tc>
        <w:tc>
          <w:tcPr>
            <w:tcW w:type="dxa" w:w="20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7"/>
                <w:szCs w:val="17"/>
              </w:rPr>
              <w:t xml:space="preserve">金額（円）</w:t>
            </w:r>
          </w:p>
        </w:tc>
        <w:tc>
          <w:tcPr>
            <w:tcW w:type="dxa" w:w="45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7"/>
                <w:szCs w:val="17"/>
              </w:rPr>
              <w:t xml:space="preserve">算　式・判定</w:t>
            </w:r>
          </w:p>
        </w:tc>
      </w:tr>
      <w:tr>
        <w:tc>
          <w:tcPr>
            <w:tcW w:type="dxa" w:w="3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特別利益（令和７年度）</w:t>
            </w:r>
          </w:p>
        </w:tc>
        <w:tc>
          <w:tcPr>
            <w:tcW w:type="dxa" w:w="20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774,867,329</w:t>
            </w:r>
          </w:p>
        </w:tc>
        <w:tc>
          <w:tcPr>
            <w:tcW w:type="dxa" w:w="4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損益計算書</w:t>
            </w:r>
          </w:p>
        </w:tc>
      </w:tr>
      <w:tr>
        <w:tc>
          <w:tcPr>
            <w:tcW w:type="dxa" w:w="31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特別損失（令和７年度）</w:t>
            </w:r>
          </w:p>
        </w:tc>
        <w:tc>
          <w:tcPr>
            <w:tcW w:type="dxa" w:w="20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△2,333,576,494</w:t>
            </w:r>
          </w:p>
        </w:tc>
        <w:tc>
          <w:tcPr>
            <w:tcW w:type="dxa" w:w="4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損益計算書</w:t>
            </w:r>
          </w:p>
        </w:tc>
      </w:tr>
      <w:tr>
        <w:tc>
          <w:tcPr>
            <w:tcW w:type="dxa" w:w="3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特別損益 純額</w:t>
            </w:r>
          </w:p>
        </w:tc>
        <w:tc>
          <w:tcPr>
            <w:tcW w:type="dxa" w:w="20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△1,558,709,165</w:t>
            </w:r>
          </w:p>
        </w:tc>
        <w:tc>
          <w:tcPr>
            <w:tcW w:type="dxa" w:w="4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特別利益－特別損失</w:t>
            </w:r>
          </w:p>
        </w:tc>
      </w:tr>
      <w:tr>
        <w:tc>
          <w:tcPr>
            <w:tcW w:type="dxa" w:w="31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うち当年度分（水道料金不納欠損等）</w:t>
            </w:r>
          </w:p>
        </w:tc>
        <w:tc>
          <w:tcPr>
            <w:tcW w:type="dxa" w:w="20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△103,489</w:t>
            </w:r>
          </w:p>
        </w:tc>
        <w:tc>
          <w:tcPr>
            <w:tcW w:type="dxa" w:w="4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特別損失明細</w:t>
            </w:r>
          </w:p>
        </w:tc>
      </w:tr>
      <w:tr>
        <w:tc>
          <w:tcPr>
            <w:tcW w:type="dxa" w:w="3100"/>
            <w:shd w:fill="E2F0D9"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7"/>
                <w:szCs w:val="17"/>
              </w:rPr>
              <w:t xml:space="preserve">うち過年度修正分</w:t>
            </w:r>
          </w:p>
        </w:tc>
        <w:tc>
          <w:tcPr>
            <w:tcW w:type="dxa" w:w="2000"/>
            <w:shd w:fill="E2F0D9"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7"/>
                <w:szCs w:val="17"/>
              </w:rPr>
              <w:t xml:space="preserve">△1,558,605,676</w:t>
            </w:r>
          </w:p>
        </w:tc>
        <w:tc>
          <w:tcPr>
            <w:tcW w:type="dxa" w:w="4500"/>
            <w:shd w:fill="E2F0D9"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7"/>
                <w:szCs w:val="17"/>
              </w:rPr>
              <w:t xml:space="preserve">３－２の算定額△1,558,605,676円と一致（差異０円）</w:t>
            </w:r>
          </w:p>
        </w:tc>
      </w:tr>
    </w:tbl>
    <w:p>
      <w:pPr>
        <w:pStyle w:val="Heading2"/>
        <w:spacing w:after="140" w:before="320"/>
      </w:pPr>
      <w:r>
        <w:rPr>
          <w:rFonts w:ascii="ＭＳ ゴシック" w:cs="ＭＳ ゴシック" w:eastAsia="ＭＳ ゴシック" w:hAnsi="ＭＳ ゴシック"/>
          <w:b/>
          <w:bCs/>
          <w:color w:val="2E75B6"/>
          <w:sz w:val="23"/>
          <w:szCs w:val="23"/>
        </w:rPr>
        <w:t xml:space="preserve">３－４　欠損金の連続性の検証</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3100"/>
        <w:gridCol w:w="2000"/>
        <w:gridCol w:w="4500"/>
      </w:tblGrid>
      <w:tr>
        <w:trPr>
          <w:tblHeader/>
        </w:trPr>
        <w:tc>
          <w:tcPr>
            <w:tcW w:type="dxa" w:w="31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7"/>
                <w:szCs w:val="17"/>
              </w:rPr>
              <w:t xml:space="preserve">項　目</w:t>
            </w:r>
          </w:p>
        </w:tc>
        <w:tc>
          <w:tcPr>
            <w:tcW w:type="dxa" w:w="20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7"/>
                <w:szCs w:val="17"/>
              </w:rPr>
              <w:t xml:space="preserve">金額（円）</w:t>
            </w:r>
          </w:p>
        </w:tc>
        <w:tc>
          <w:tcPr>
            <w:tcW w:type="dxa" w:w="45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7"/>
                <w:szCs w:val="17"/>
              </w:rPr>
              <w:t xml:space="preserve">説　明</w:t>
            </w:r>
          </w:p>
        </w:tc>
      </w:tr>
      <w:tr>
        <w:tc>
          <w:tcPr>
            <w:tcW w:type="dxa" w:w="3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令和６年度末 未処理欠損金（修正後）</w:t>
            </w:r>
          </w:p>
        </w:tc>
        <w:tc>
          <w:tcPr>
            <w:tcW w:type="dxa" w:w="20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△2,713,240,417</w:t>
            </w:r>
          </w:p>
        </w:tc>
        <w:tc>
          <w:tcPr>
            <w:tcW w:type="dxa" w:w="4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３－１の再構成による</w:t>
            </w:r>
          </w:p>
        </w:tc>
      </w:tr>
      <w:tr>
        <w:tc>
          <w:tcPr>
            <w:tcW w:type="dxa" w:w="31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令和７年度 実質純損失</w:t>
            </w:r>
          </w:p>
        </w:tc>
        <w:tc>
          <w:tcPr>
            <w:tcW w:type="dxa" w:w="20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△19,693,133</w:t>
            </w:r>
          </w:p>
        </w:tc>
        <w:tc>
          <w:tcPr>
            <w:tcW w:type="dxa" w:w="4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経常損失19,589,644＋不納欠損等103,489（過年度修正分を除く）</w:t>
            </w:r>
          </w:p>
        </w:tc>
      </w:tr>
      <w:tr>
        <w:tc>
          <w:tcPr>
            <w:tcW w:type="dxa" w:w="3100"/>
            <w:shd w:fill="E2F0D9"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7"/>
                <w:szCs w:val="17"/>
              </w:rPr>
              <w:t xml:space="preserve">令和７年度末 未処理欠損金</w:t>
            </w:r>
          </w:p>
        </w:tc>
        <w:tc>
          <w:tcPr>
            <w:tcW w:type="dxa" w:w="2000"/>
            <w:shd w:fill="E2F0D9"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7"/>
                <w:szCs w:val="17"/>
              </w:rPr>
              <w:t xml:space="preserve">△2,732,933,550</w:t>
            </w:r>
          </w:p>
        </w:tc>
        <w:tc>
          <w:tcPr>
            <w:tcW w:type="dxa" w:w="4500"/>
            <w:shd w:fill="E2F0D9"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7"/>
                <w:szCs w:val="17"/>
              </w:rPr>
              <w:t xml:space="preserve">決算書の貸借対照表の値と一致（差異０円）</w:t>
            </w:r>
          </w:p>
        </w:tc>
      </w:tr>
    </w:tbl>
    <w:p>
      <w:pPr>
        <w:pStyle w:val="Heading2"/>
        <w:spacing w:after="140" w:before="320"/>
      </w:pPr>
      <w:r>
        <w:rPr>
          <w:rFonts w:ascii="ＭＳ ゴシック" w:cs="ＭＳ ゴシック" w:eastAsia="ＭＳ ゴシック" w:hAnsi="ＭＳ ゴシック"/>
          <w:b/>
          <w:bCs/>
          <w:color w:val="2E75B6"/>
          <w:sz w:val="23"/>
          <w:szCs w:val="23"/>
        </w:rPr>
        <w:t xml:space="preserve">３－５　下水道事業（同じ方法による検証）</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2400"/>
        <w:gridCol w:w="1700"/>
        <w:gridCol w:w="1700"/>
        <w:gridCol w:w="3800"/>
      </w:tblGrid>
      <w:tr>
        <w:trPr>
          <w:tblHeader/>
        </w:trPr>
        <w:tc>
          <w:tcPr>
            <w:tcW w:type="dxa" w:w="24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項　目</w:t>
            </w:r>
          </w:p>
        </w:tc>
        <w:tc>
          <w:tcPr>
            <w:tcW w:type="dxa" w:w="17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修正前（円）</w:t>
            </w:r>
          </w:p>
        </w:tc>
        <w:tc>
          <w:tcPr>
            <w:tcW w:type="dxa" w:w="17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修正後（円）</w:t>
            </w:r>
          </w:p>
        </w:tc>
        <w:tc>
          <w:tcPr>
            <w:tcW w:type="dxa" w:w="38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説　明</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令和６年度末 未処理欠損金</w:t>
            </w:r>
          </w:p>
        </w:tc>
        <w:tc>
          <w:tcPr>
            <w:tcW w:type="dxa" w:w="17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△312,413,050</w:t>
            </w:r>
          </w:p>
        </w:tc>
        <w:tc>
          <w:tcPr>
            <w:tcW w:type="dxa" w:w="17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△481,552,867</w:t>
            </w:r>
          </w:p>
        </w:tc>
        <w:tc>
          <w:tcPr>
            <w:tcW w:type="dxa" w:w="38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修正前は令和７年度剰余金計算書の前年度末残高。修正後は純影響額169,139,817円を反映（1.54倍）</w:t>
            </w:r>
          </w:p>
        </w:tc>
      </w:tr>
      <w:tr>
        <w:tc>
          <w:tcPr>
            <w:tcW w:type="dxa" w:w="24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令和７年度 純損失</w:t>
            </w:r>
          </w:p>
        </w:tc>
        <w:tc>
          <w:tcPr>
            <w:tcW w:type="dxa" w:w="17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△228,419,897</w:t>
            </w:r>
          </w:p>
        </w:tc>
        <w:tc>
          <w:tcPr>
            <w:tcW w:type="dxa" w:w="17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△59,280,080</w:t>
            </w:r>
          </w:p>
        </w:tc>
        <w:tc>
          <w:tcPr>
            <w:tcW w:type="dxa" w:w="38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修正後は過年度修正分を除いた実質純損失</w:t>
            </w:r>
          </w:p>
        </w:tc>
      </w:tr>
      <w:tr>
        <w:tc>
          <w:tcPr>
            <w:tcW w:type="dxa" w:w="2400"/>
            <w:shd w:fill="E2F0D9"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6"/>
                <w:szCs w:val="16"/>
              </w:rPr>
              <w:t xml:space="preserve">令和７年度末 未処理欠損金</w:t>
            </w:r>
          </w:p>
        </w:tc>
        <w:tc>
          <w:tcPr>
            <w:tcW w:type="dxa" w:w="1700"/>
            <w:shd w:fill="E2F0D9"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△540,832,947</w:t>
            </w:r>
          </w:p>
        </w:tc>
        <w:tc>
          <w:tcPr>
            <w:tcW w:type="dxa" w:w="1700"/>
            <w:shd w:fill="E2F0D9"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△540,832,947</w:t>
            </w:r>
          </w:p>
        </w:tc>
        <w:tc>
          <w:tcPr>
            <w:tcW w:type="dxa" w:w="3800"/>
            <w:shd w:fill="E2F0D9"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6"/>
                <w:szCs w:val="16"/>
              </w:rPr>
              <w:t xml:space="preserve">どちらの経路でも決算書の値と一致（差異０円）</w:t>
            </w:r>
          </w:p>
        </w:tc>
      </w:tr>
    </w:tbl>
    <w:p>
      <w:pPr>
        <w:spacing w:after="120"/>
      </w:pPr>
    </w:p>
    <w:p>
      <w:pPr>
        <w:spacing w:after="120" w:before="0" w:line="300"/>
        <w:jc w:val="both"/>
      </w:pPr>
      <w:r>
        <w:rPr>
          <w:rFonts w:ascii="ＭＳ 明朝" w:cs="ＭＳ 明朝" w:eastAsia="ＭＳ 明朝" w:hAnsi="ＭＳ 明朝"/>
          <w:b w:val="false"/>
          <w:bCs w:val="false"/>
          <w:color w:val="000000"/>
          <w:sz w:val="21"/>
          <w:szCs w:val="21"/>
        </w:rPr>
        <w:t xml:space="preserve">　以上により、決算審査意見書に記載された修正前・修正後の額と、令和７年度決算に計上された特別損益が完全に整合していることを確認しました。住民・議会への説明では、「過年度の会計処理誤りの修正額は15億5,861万円（下水道は1億6,914万円）であり、第三者による検証で決算書との整合を確認した」と述べることができます。</w:t>
      </w:r>
    </w:p>
    <w:p>
      <w:r>
        <w:br w:type="page"/>
      </w:r>
    </w:p>
    <w:p>
      <w:pPr>
        <w:pStyle w:val="Heading1"/>
        <w:pBdr>
          <w:bottom w:val="single" w:color="1F3864" w:sz="12" w:space="4"/>
        </w:pBdr>
        <w:spacing w:after="220" w:before="480"/>
      </w:pPr>
      <w:r>
        <w:rPr>
          <w:rFonts w:ascii="ＭＳ ゴシック" w:cs="ＭＳ ゴシック" w:eastAsia="ＭＳ ゴシック" w:hAnsi="ＭＳ ゴシック"/>
          <w:b/>
          <w:bCs/>
          <w:color w:val="1F3864"/>
          <w:sz w:val="28"/>
          <w:szCs w:val="28"/>
        </w:rPr>
        <w:t xml:space="preserve">第４章　修正前後の経営指標対比【業務仕様書６(３)対応】</w:t>
      </w:r>
    </w:p>
    <w:p>
      <w:pPr>
        <w:pBdr>
          <w:left w:val="single" w:color="C55A11" w:sz="18" w:space="6"/>
        </w:pBdr>
        <w:shd w:fill="FFF2CC" w:color="auto" w:val="clear"/>
        <w:spacing w:after="200"/>
      </w:pPr>
      <w:r>
        <w:rPr>
          <w:rFonts w:ascii="ＭＳ ゴシック" w:cs="ＭＳ ゴシック" w:eastAsia="ＭＳ ゴシック" w:hAnsi="ＭＳ ゴシック"/>
          <w:b/>
          <w:bCs/>
          <w:sz w:val="19"/>
          <w:szCs w:val="19"/>
        </w:rPr>
        <w:t xml:space="preserve">　本章の「修正後」は、過年度修正を令和６年度に遡及して反映した場合の試算値（プロフォーマ）です。令和６年度決算は既に認定済みであり、公表された決算値ではありません。修正は令和７年度の特別損益として処理されています。</w:t>
      </w:r>
    </w:p>
    <w:p>
      <w:pPr>
        <w:pStyle w:val="Heading2"/>
        <w:spacing w:after="140" w:before="320"/>
      </w:pPr>
      <w:r>
        <w:rPr>
          <w:rFonts w:ascii="ＭＳ ゴシック" w:cs="ＭＳ ゴシック" w:eastAsia="ＭＳ ゴシック" w:hAnsi="ＭＳ ゴシック"/>
          <w:b/>
          <w:bCs/>
          <w:color w:val="2E75B6"/>
          <w:sz w:val="23"/>
          <w:szCs w:val="23"/>
        </w:rPr>
        <w:t xml:space="preserve">４－１　修正の影響を受ける指標</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2100"/>
        <w:gridCol w:w="1150"/>
        <w:gridCol w:w="1150"/>
        <w:gridCol w:w="1200"/>
        <w:gridCol w:w="4000"/>
      </w:tblGrid>
      <w:tr>
        <w:trPr>
          <w:tblHeader/>
        </w:trPr>
        <w:tc>
          <w:tcPr>
            <w:tcW w:type="dxa" w:w="21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指　標</w:t>
            </w:r>
          </w:p>
        </w:tc>
        <w:tc>
          <w:tcPr>
            <w:tcW w:type="dxa" w:w="115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修正前</w:t>
            </w:r>
          </w:p>
        </w:tc>
        <w:tc>
          <w:tcPr>
            <w:tcW w:type="dxa" w:w="115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修正後</w:t>
            </w:r>
          </w:p>
        </w:tc>
        <w:tc>
          <w:tcPr>
            <w:tcW w:type="dxa" w:w="12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差</w:t>
            </w:r>
          </w:p>
        </w:tc>
        <w:tc>
          <w:tcPr>
            <w:tcW w:type="dxa" w:w="40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算　式</w:t>
            </w:r>
          </w:p>
        </w:tc>
      </w:tr>
      <w:tr>
        <w:tc>
          <w:tcPr>
            <w:tcW w:type="dxa" w:w="21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6"/>
                <w:szCs w:val="16"/>
              </w:rPr>
              <w:t xml:space="preserve">有形固定資産減価償却率</w:t>
            </w:r>
          </w:p>
        </w:tc>
        <w:tc>
          <w:tcPr>
            <w:tcW w:type="dxa" w:w="115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19.43％</w:t>
            </w:r>
          </w:p>
        </w:tc>
        <w:tc>
          <w:tcPr>
            <w:tcW w:type="dxa" w:w="115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34.46％</w:t>
            </w:r>
          </w:p>
        </w:tc>
        <w:tc>
          <w:tcPr>
            <w:tcW w:type="dxa" w:w="12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＋15.03pt</w:t>
            </w:r>
          </w:p>
        </w:tc>
        <w:tc>
          <w:tcPr>
            <w:tcW w:type="dxa" w:w="40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減価償却累計額÷償却対象資産の帳簿原価</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修正前 2,778,390,673／14,300,745,075</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修正後 4,926,150,742／14,297,116,746</w:t>
            </w:r>
          </w:p>
        </w:tc>
      </w:tr>
      <w:tr>
        <w:tc>
          <w:tcPr>
            <w:tcW w:type="dxa" w:w="21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6"/>
                <w:szCs w:val="16"/>
              </w:rPr>
              <w:t xml:space="preserve">流動比率</w:t>
            </w:r>
          </w:p>
        </w:tc>
        <w:tc>
          <w:tcPr>
            <w:tcW w:type="dxa" w:w="115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190.82％</w:t>
            </w:r>
          </w:p>
        </w:tc>
        <w:tc>
          <w:tcPr>
            <w:tcW w:type="dxa" w:w="115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111.52％</w:t>
            </w:r>
          </w:p>
        </w:tc>
        <w:tc>
          <w:tcPr>
            <w:tcW w:type="dxa" w:w="12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△79.30pt</w:t>
            </w:r>
          </w:p>
        </w:tc>
        <w:tc>
          <w:tcPr>
            <w:tcW w:type="dxa" w:w="40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流動資産÷流動負債</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流動負債218,851千円は修正の影響を受けないため、流動資産の減少をそのまま反映</w:t>
            </w:r>
          </w:p>
        </w:tc>
      </w:tr>
      <w:tr>
        <w:tc>
          <w:tcPr>
            <w:tcW w:type="dxa" w:w="2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自己資本構成比率</w:t>
            </w:r>
          </w:p>
        </w:tc>
        <w:tc>
          <w:tcPr>
            <w:tcW w:type="dxa" w:w="11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90.07％</w:t>
            </w:r>
          </w:p>
        </w:tc>
        <w:tc>
          <w:tcPr>
            <w:tcW w:type="dxa" w:w="11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87.68％</w:t>
            </w:r>
          </w:p>
        </w:tc>
        <w:tc>
          <w:tcPr>
            <w:tcW w:type="dxa" w:w="12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△2.39pt</w:t>
            </w:r>
          </w:p>
        </w:tc>
        <w:tc>
          <w:tcPr>
            <w:tcW w:type="dxa" w:w="40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（資本合計＋繰延収益）÷負債資本合計</w:t>
            </w:r>
          </w:p>
        </w:tc>
      </w:tr>
      <w:tr>
        <w:tc>
          <w:tcPr>
            <w:tcW w:type="dxa" w:w="21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累積欠損金比率</w:t>
            </w:r>
          </w:p>
        </w:tc>
        <w:tc>
          <w:tcPr>
            <w:tcW w:type="dxa" w:w="115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971.83％</w:t>
            </w:r>
          </w:p>
        </w:tc>
        <w:tc>
          <w:tcPr>
            <w:tcW w:type="dxa" w:w="115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2,283.67％</w:t>
            </w:r>
          </w:p>
        </w:tc>
        <w:tc>
          <w:tcPr>
            <w:tcW w:type="dxa" w:w="12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＋1,311.84pt</w:t>
            </w:r>
          </w:p>
        </w:tc>
        <w:tc>
          <w:tcPr>
            <w:tcW w:type="dxa" w:w="40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当年度未処理欠損金÷（営業収益－受託工事収益）</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分母の令和６年度営業収益118,811千円は概算</w:t>
            </w:r>
          </w:p>
        </w:tc>
      </w:tr>
    </w:tbl>
    <w:p>
      <w:pPr>
        <w:spacing w:after="120"/>
      </w:pPr>
    </w:p>
    <w:p>
      <w:pPr>
        <w:pStyle w:val="ListParagraph"/>
        <w:numPr>
          <w:ilvl w:val="0"/>
          <w:numId w:val="2"/>
        </w:numPr>
        <w:spacing w:after="80" w:line="290"/>
      </w:pPr>
      <w:r>
        <w:rPr>
          <w:rFonts w:ascii="ＭＳ 明朝" w:cs="ＭＳ 明朝" w:eastAsia="ＭＳ 明朝" w:hAnsi="ＭＳ 明朝"/>
          <w:sz w:val="21"/>
          <w:szCs w:val="21"/>
        </w:rPr>
        <w:t xml:space="preserve">流動比率は、流動負債が修正の影響を受けないため、流動資産の減少（△173,556千円）をそのまま反映しています。修正後でも100％は上回ります。</w:t>
      </w:r>
    </w:p>
    <w:p>
      <w:pPr>
        <w:pStyle w:val="ListParagraph"/>
        <w:numPr>
          <w:ilvl w:val="0"/>
          <w:numId w:val="2"/>
        </w:numPr>
        <w:spacing w:after="80" w:line="290"/>
      </w:pPr>
      <w:r>
        <w:rPr>
          <w:rFonts w:ascii="ＭＳ 明朝" w:cs="ＭＳ 明朝" w:eastAsia="ＭＳ 明朝" w:hAnsi="ＭＳ 明朝"/>
          <w:sz w:val="21"/>
          <w:szCs w:val="21"/>
        </w:rPr>
        <w:t xml:space="preserve">自己資本構成比率の低下幅が小さいのは、資本剰余金から長期前受金への振替（△55.7億円）が自己資本内の振替であり、指標に直結しないためです。資産と自己資本がともに減少するため、比率としてはわずかな低下にとどまります。この点は説明時に誤解を招きやすいので注意が必要です。</w:t>
      </w:r>
    </w:p>
    <w:p>
      <w:pPr>
        <w:pStyle w:val="Heading2"/>
        <w:spacing w:after="140" w:before="320"/>
      </w:pPr>
      <w:r>
        <w:rPr>
          <w:rFonts w:ascii="ＭＳ ゴシック" w:cs="ＭＳ ゴシック" w:eastAsia="ＭＳ ゴシック" w:hAnsi="ＭＳ ゴシック"/>
          <w:b/>
          <w:bCs/>
          <w:color w:val="2E75B6"/>
          <w:sz w:val="23"/>
          <w:szCs w:val="23"/>
        </w:rPr>
        <w:t xml:space="preserve">４－２　修正の影響を受けない指標</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2100"/>
        <w:gridCol w:w="1100"/>
        <w:gridCol w:w="3400"/>
        <w:gridCol w:w="3000"/>
      </w:tblGrid>
      <w:tr>
        <w:trPr>
          <w:tblHeader/>
        </w:trPr>
        <w:tc>
          <w:tcPr>
            <w:tcW w:type="dxa" w:w="21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指　標</w:t>
            </w:r>
          </w:p>
        </w:tc>
        <w:tc>
          <w:tcPr>
            <w:tcW w:type="dxa" w:w="11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令和６年度</w:t>
            </w:r>
          </w:p>
        </w:tc>
        <w:tc>
          <w:tcPr>
            <w:tcW w:type="dxa" w:w="34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理　由</w:t>
            </w:r>
          </w:p>
        </w:tc>
        <w:tc>
          <w:tcPr>
            <w:tcW w:type="dxa" w:w="30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留意点</w:t>
            </w:r>
          </w:p>
        </w:tc>
      </w:tr>
      <w:tr>
        <w:tc>
          <w:tcPr>
            <w:tcW w:type="dxa" w:w="2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経常収支比率</w:t>
            </w:r>
          </w:p>
        </w:tc>
        <w:tc>
          <w:tcPr>
            <w:tcW w:type="dxa" w:w="11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88.12％</w:t>
            </w:r>
          </w:p>
        </w:tc>
        <w:tc>
          <w:tcPr>
            <w:tcW w:type="dxa" w:w="34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過年度の損益は遡及修正されず、令和７年度の特別損益として一括計上されたため、令和６年度の損益計算書は変更されていない</w:t>
            </w:r>
          </w:p>
        </w:tc>
        <w:tc>
          <w:tcPr>
            <w:tcW w:type="dxa" w:w="30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地方公営企業では当年度の特別損益で処理するのが通例。経年比較の際は令和７年度に一過性の特別損益が含まれる旨の注記が必要</w:t>
            </w:r>
          </w:p>
        </w:tc>
      </w:tr>
      <w:tr>
        <w:tc>
          <w:tcPr>
            <w:tcW w:type="dxa" w:w="21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料金回収率</w:t>
            </w:r>
          </w:p>
        </w:tc>
        <w:tc>
          <w:tcPr>
            <w:tcW w:type="dxa" w:w="11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47.11％</w:t>
            </w:r>
          </w:p>
        </w:tc>
        <w:tc>
          <w:tcPr>
            <w:tcW w:type="dxa" w:w="34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同上</w:t>
            </w:r>
          </w:p>
        </w:tc>
        <w:tc>
          <w:tcPr>
            <w:tcW w:type="dxa" w:w="30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令和７年度は35.07％。減価償却費の増加により大きく低下</w:t>
            </w:r>
          </w:p>
        </w:tc>
      </w:tr>
      <w:tr>
        <w:tc>
          <w:tcPr>
            <w:tcW w:type="dxa" w:w="2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管路経年化率</w:t>
            </w:r>
          </w:p>
        </w:tc>
        <w:tc>
          <w:tcPr>
            <w:tcW w:type="dxa" w:w="11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23.74％</w:t>
            </w:r>
          </w:p>
        </w:tc>
        <w:tc>
          <w:tcPr>
            <w:tcW w:type="dxa" w:w="34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管路延長ベースの指標で、金額の修正の影響を受けない</w:t>
            </w:r>
          </w:p>
        </w:tc>
        <w:tc>
          <w:tcPr>
            <w:tcW w:type="dxa" w:w="30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令和７年度は23.16％</w:t>
            </w:r>
          </w:p>
        </w:tc>
      </w:tr>
      <w:tr>
        <w:tc>
          <w:tcPr>
            <w:tcW w:type="dxa" w:w="21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管路更新率</w:t>
            </w:r>
          </w:p>
        </w:tc>
        <w:tc>
          <w:tcPr>
            <w:tcW w:type="dxa" w:w="11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0.00％</w:t>
            </w:r>
          </w:p>
        </w:tc>
        <w:tc>
          <w:tcPr>
            <w:tcW w:type="dxa" w:w="34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同上</w:t>
            </w:r>
          </w:p>
        </w:tc>
        <w:tc>
          <w:tcPr>
            <w:tcW w:type="dxa" w:w="30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令和７年度は0.75％</w:t>
            </w:r>
          </w:p>
        </w:tc>
      </w:tr>
      <w:tr>
        <w:tc>
          <w:tcPr>
            <w:tcW w:type="dxa" w:w="2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企業債残高対給水収益比率</w:t>
            </w:r>
          </w:p>
        </w:tc>
        <w:tc>
          <w:tcPr>
            <w:tcW w:type="dxa" w:w="11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w:t>
            </w:r>
          </w:p>
        </w:tc>
        <w:tc>
          <w:tcPr>
            <w:tcW w:type="dxa" w:w="34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企業債残高・給水収益とも修正の対象外</w:t>
            </w:r>
          </w:p>
        </w:tc>
        <w:tc>
          <w:tcPr>
            <w:tcW w:type="dxa" w:w="30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令和７年度は915.92％</w:t>
            </w:r>
          </w:p>
        </w:tc>
      </w:tr>
    </w:tbl>
    <w:p>
      <w:pPr>
        <w:pStyle w:val="Heading2"/>
        <w:spacing w:after="140" w:before="320"/>
      </w:pPr>
      <w:r>
        <w:rPr>
          <w:rFonts w:ascii="ＭＳ ゴシック" w:cs="ＭＳ ゴシック" w:eastAsia="ＭＳ ゴシック" w:hAnsi="ＭＳ ゴシック"/>
          <w:b/>
          <w:bCs/>
          <w:color w:val="2E75B6"/>
          <w:sz w:val="23"/>
          <w:szCs w:val="23"/>
        </w:rPr>
        <w:t xml:space="preserve">４－３　貸借対照表の主要項目</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2400"/>
        <w:gridCol w:w="1750"/>
        <w:gridCol w:w="1750"/>
        <w:gridCol w:w="1700"/>
        <w:gridCol w:w="2000"/>
      </w:tblGrid>
      <w:tr>
        <w:trPr>
          <w:tblHeader/>
        </w:trPr>
        <w:tc>
          <w:tcPr>
            <w:tcW w:type="dxa" w:w="24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項　目</w:t>
            </w:r>
          </w:p>
        </w:tc>
        <w:tc>
          <w:tcPr>
            <w:tcW w:type="dxa" w:w="175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修正前（円）</w:t>
            </w:r>
          </w:p>
        </w:tc>
        <w:tc>
          <w:tcPr>
            <w:tcW w:type="dxa" w:w="175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修正後（円）</w:t>
            </w:r>
          </w:p>
        </w:tc>
        <w:tc>
          <w:tcPr>
            <w:tcW w:type="dxa" w:w="17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増減（円）</w:t>
            </w:r>
          </w:p>
        </w:tc>
        <w:tc>
          <w:tcPr>
            <w:tcW w:type="dxa" w:w="20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備　考</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有形固定資産（償却未済高）</w:t>
            </w:r>
          </w:p>
        </w:tc>
        <w:tc>
          <w:tcPr>
            <w:tcW w:type="dxa" w:w="17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11,569,450,875</w:t>
            </w:r>
          </w:p>
        </w:tc>
        <w:tc>
          <w:tcPr>
            <w:tcW w:type="dxa" w:w="17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9,417,884,919</w:t>
            </w:r>
          </w:p>
        </w:tc>
        <w:tc>
          <w:tcPr>
            <w:tcW w:type="dxa" w:w="17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△2,151,565,956</w:t>
            </w:r>
          </w:p>
        </w:tc>
        <w:tc>
          <w:tcPr>
            <w:tcW w:type="dxa" w:w="20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減価償却累計額の追加計上等</w:t>
            </w:r>
          </w:p>
        </w:tc>
      </w:tr>
      <w:tr>
        <w:tc>
          <w:tcPr>
            <w:tcW w:type="dxa" w:w="24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流動資産</w:t>
            </w:r>
          </w:p>
        </w:tc>
        <w:tc>
          <w:tcPr>
            <w:tcW w:type="dxa" w:w="175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417,612,331</w:t>
            </w:r>
          </w:p>
        </w:tc>
        <w:tc>
          <w:tcPr>
            <w:tcW w:type="dxa" w:w="175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244,055,931</w:t>
            </w:r>
          </w:p>
        </w:tc>
        <w:tc>
          <w:tcPr>
            <w:tcW w:type="dxa" w:w="17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△173,556,400</w:t>
            </w:r>
          </w:p>
        </w:tc>
        <w:tc>
          <w:tcPr>
            <w:tcW w:type="dxa" w:w="20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その他流動資産・貯蔵品の減</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長期前受金</w:t>
            </w:r>
          </w:p>
        </w:tc>
        <w:tc>
          <w:tcPr>
            <w:tcW w:type="dxa" w:w="17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5,477,657,479</w:t>
            </w:r>
          </w:p>
        </w:tc>
        <w:tc>
          <w:tcPr>
            <w:tcW w:type="dxa" w:w="17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11,050,942,396</w:t>
            </w:r>
          </w:p>
        </w:tc>
        <w:tc>
          <w:tcPr>
            <w:tcW w:type="dxa" w:w="17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＋5,573,284,917</w:t>
            </w:r>
          </w:p>
        </w:tc>
        <w:tc>
          <w:tcPr>
            <w:tcW w:type="dxa" w:w="20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資本剰余金からの振替</w:t>
            </w:r>
          </w:p>
        </w:tc>
      </w:tr>
      <w:tr>
        <w:tc>
          <w:tcPr>
            <w:tcW w:type="dxa" w:w="24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長期前受金収益化累計額</w:t>
            </w:r>
          </w:p>
        </w:tc>
        <w:tc>
          <w:tcPr>
            <w:tcW w:type="dxa" w:w="175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△2,467,811,261</w:t>
            </w:r>
          </w:p>
        </w:tc>
        <w:tc>
          <w:tcPr>
            <w:tcW w:type="dxa" w:w="175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△3,234,327,941</w:t>
            </w:r>
          </w:p>
        </w:tc>
        <w:tc>
          <w:tcPr>
            <w:tcW w:type="dxa" w:w="17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△766,516,680</w:t>
            </w:r>
          </w:p>
        </w:tc>
        <w:tc>
          <w:tcPr>
            <w:tcW w:type="dxa" w:w="20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追加計上</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資本剰余金</w:t>
            </w:r>
          </w:p>
        </w:tc>
        <w:tc>
          <w:tcPr>
            <w:tcW w:type="dxa" w:w="17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7,559,417,559</w:t>
            </w:r>
          </w:p>
        </w:tc>
        <w:tc>
          <w:tcPr>
            <w:tcW w:type="dxa" w:w="175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1,986,132,642</w:t>
            </w:r>
          </w:p>
        </w:tc>
        <w:tc>
          <w:tcPr>
            <w:tcW w:type="dxa" w:w="17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△5,573,284,917</w:t>
            </w:r>
          </w:p>
        </w:tc>
        <w:tc>
          <w:tcPr>
            <w:tcW w:type="dxa" w:w="20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補助金の振替</w:t>
            </w:r>
          </w:p>
        </w:tc>
      </w:tr>
      <w:tr>
        <w:tc>
          <w:tcPr>
            <w:tcW w:type="dxa" w:w="24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未処理欠損金</w:t>
            </w:r>
          </w:p>
        </w:tc>
        <w:tc>
          <w:tcPr>
            <w:tcW w:type="dxa" w:w="175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△1,154,634,741</w:t>
            </w:r>
          </w:p>
        </w:tc>
        <w:tc>
          <w:tcPr>
            <w:tcW w:type="dxa" w:w="175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△2,713,240,417</w:t>
            </w:r>
          </w:p>
        </w:tc>
        <w:tc>
          <w:tcPr>
            <w:tcW w:type="dxa" w:w="17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△1,558,605,676</w:t>
            </w:r>
          </w:p>
        </w:tc>
        <w:tc>
          <w:tcPr>
            <w:tcW w:type="dxa" w:w="20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純影響額</w:t>
            </w:r>
          </w:p>
        </w:tc>
      </w:tr>
    </w:tbl>
    <w:p>
      <w:pPr>
        <w:spacing w:after="120"/>
      </w:pPr>
    </w:p>
    <w:p>
      <w:pPr>
        <w:spacing w:after="60" w:before="40" w:line="260"/>
        <w:ind w:left="200"/>
      </w:pPr>
      <w:r>
        <w:rPr>
          <w:rFonts w:ascii="ＭＳ 明朝" w:cs="ＭＳ 明朝" w:eastAsia="ＭＳ 明朝" w:hAnsi="ＭＳ 明朝"/>
          <w:color w:val="404040"/>
          <w:sz w:val="18"/>
          <w:szCs w:val="18"/>
        </w:rPr>
        <w:t xml:space="preserve">※ 流動資産の修正前の額417,612千円は、令和７年度決算の流動資産156,291千円に、意見書に記載された前年度比減少額261,321千円を戻して算定した推計値です（千円単位）。この値から算定した自己資本構成比率が決算書掲載値90.07％を再現することで妥当性を確認しています。</w:t>
      </w:r>
    </w:p>
    <w:p>
      <w:pPr>
        <w:spacing w:after="60" w:before="40" w:line="260"/>
        <w:ind w:left="200"/>
      </w:pPr>
      <w:r>
        <w:rPr>
          <w:rFonts w:ascii="ＭＳ 明朝" w:cs="ＭＳ 明朝" w:eastAsia="ＭＳ 明朝" w:hAnsi="ＭＳ 明朝"/>
          <w:color w:val="404040"/>
          <w:sz w:val="18"/>
          <w:szCs w:val="18"/>
        </w:rPr>
        <w:t xml:space="preserve">※ 資本金・資本剰余金・未処理欠損金の修正前の額は、令和７年度剰余金計算書の「前年度末残高」によります。</w:t>
      </w:r>
    </w:p>
    <w:p>
      <w:r>
        <w:br w:type="page"/>
      </w:r>
    </w:p>
    <w:p>
      <w:pPr>
        <w:pStyle w:val="Heading1"/>
        <w:pBdr>
          <w:bottom w:val="single" w:color="1F3864" w:sz="12" w:space="4"/>
        </w:pBdr>
        <w:spacing w:after="220" w:before="480"/>
      </w:pPr>
      <w:r>
        <w:rPr>
          <w:rFonts w:ascii="ＭＳ ゴシック" w:cs="ＭＳ ゴシック" w:eastAsia="ＭＳ ゴシック" w:hAnsi="ＭＳ ゴシック"/>
          <w:b/>
          <w:bCs/>
          <w:color w:val="1F3864"/>
          <w:sz w:val="28"/>
          <w:szCs w:val="28"/>
        </w:rPr>
        <w:t xml:space="preserve">第５章　決算書掲載指標の検証【要確認事項】</w:t>
      </w:r>
    </w:p>
    <w:p>
      <w:pPr>
        <w:spacing w:after="120" w:before="0" w:line="300"/>
        <w:jc w:val="both"/>
      </w:pPr>
      <w:r>
        <w:rPr>
          <w:rFonts w:ascii="ＭＳ 明朝" w:cs="ＭＳ 明朝" w:eastAsia="ＭＳ 明朝" w:hAnsi="ＭＳ 明朝"/>
          <w:b w:val="false"/>
          <w:bCs w:val="false"/>
          <w:color w:val="000000"/>
          <w:sz w:val="21"/>
          <w:szCs w:val="21"/>
        </w:rPr>
        <w:t xml:space="preserve">　令和７年度決算書「経営指標の推移」に掲載された有形固定資産減価償却率22.07％が、同じ決算書の有形固定資産明細書から算定される値と一致しません。</w:t>
      </w:r>
    </w:p>
    <w:p>
      <w:pPr>
        <w:pStyle w:val="Heading2"/>
        <w:spacing w:after="140" w:before="320"/>
      </w:pPr>
      <w:r>
        <w:rPr>
          <w:rFonts w:ascii="ＭＳ ゴシック" w:cs="ＭＳ ゴシック" w:eastAsia="ＭＳ ゴシック" w:hAnsi="ＭＳ ゴシック"/>
          <w:b/>
          <w:bCs/>
          <w:color w:val="2E75B6"/>
          <w:sz w:val="23"/>
          <w:szCs w:val="23"/>
        </w:rPr>
        <w:t xml:space="preserve">５－１　令和７年度 有形固定資産明細書（決算書 資料Ⅳ(1)）</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2600"/>
        <w:gridCol w:w="2400"/>
        <w:gridCol w:w="2400"/>
        <w:gridCol w:w="2200"/>
      </w:tblGrid>
      <w:tr>
        <w:trPr>
          <w:tblHeader/>
        </w:trPr>
        <w:tc>
          <w:tcPr>
            <w:tcW w:type="dxa" w:w="26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7"/>
                <w:szCs w:val="17"/>
              </w:rPr>
              <w:t xml:space="preserve">資産の種類</w:t>
            </w:r>
          </w:p>
        </w:tc>
        <w:tc>
          <w:tcPr>
            <w:tcW w:type="dxa" w:w="24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7"/>
                <w:szCs w:val="17"/>
              </w:rPr>
              <w:t xml:space="preserve">年度末現在高（円）</w:t>
            </w:r>
          </w:p>
        </w:tc>
        <w:tc>
          <w:tcPr>
            <w:tcW w:type="dxa" w:w="24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7"/>
                <w:szCs w:val="17"/>
              </w:rPr>
              <w:t xml:space="preserve">減価償却累計額（円）</w:t>
            </w:r>
          </w:p>
        </w:tc>
        <w:tc>
          <w:tcPr>
            <w:tcW w:type="dxa" w:w="22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7"/>
                <w:szCs w:val="17"/>
              </w:rPr>
              <w:t xml:space="preserve">償却率</w:t>
            </w:r>
          </w:p>
        </w:tc>
      </w:tr>
      <w:tr>
        <w:tc>
          <w:tcPr>
            <w:tcW w:type="dxa" w:w="26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建物</w:t>
            </w:r>
          </w:p>
        </w:tc>
        <w:tc>
          <w:tcPr>
            <w:tcW w:type="dxa" w:w="24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826,599,519</w:t>
            </w:r>
          </w:p>
        </w:tc>
        <w:tc>
          <w:tcPr>
            <w:tcW w:type="dxa" w:w="24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146,209,486</w:t>
            </w:r>
          </w:p>
        </w:tc>
        <w:tc>
          <w:tcPr>
            <w:tcW w:type="dxa" w:w="22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17.69％</w:t>
            </w:r>
          </w:p>
        </w:tc>
      </w:tr>
      <w:tr>
        <w:tc>
          <w:tcPr>
            <w:tcW w:type="dxa" w:w="26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構築物</w:t>
            </w:r>
          </w:p>
        </w:tc>
        <w:tc>
          <w:tcPr>
            <w:tcW w:type="dxa" w:w="24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10,008,063,854</w:t>
            </w:r>
          </w:p>
        </w:tc>
        <w:tc>
          <w:tcPr>
            <w:tcW w:type="dxa" w:w="24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3,227,397,373</w:t>
            </w:r>
          </w:p>
        </w:tc>
        <w:tc>
          <w:tcPr>
            <w:tcW w:type="dxa" w:w="22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32.25％</w:t>
            </w:r>
          </w:p>
        </w:tc>
      </w:tr>
      <w:tr>
        <w:tc>
          <w:tcPr>
            <w:tcW w:type="dxa" w:w="26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機械及び装置</w:t>
            </w:r>
          </w:p>
        </w:tc>
        <w:tc>
          <w:tcPr>
            <w:tcW w:type="dxa" w:w="24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3,555,238,033</w:t>
            </w:r>
          </w:p>
        </w:tc>
        <w:tc>
          <w:tcPr>
            <w:tcW w:type="dxa" w:w="24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1,942,559,153</w:t>
            </w:r>
          </w:p>
        </w:tc>
        <w:tc>
          <w:tcPr>
            <w:tcW w:type="dxa" w:w="22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54.64％</w:t>
            </w:r>
          </w:p>
        </w:tc>
      </w:tr>
      <w:tr>
        <w:tc>
          <w:tcPr>
            <w:tcW w:type="dxa" w:w="26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工具、器具及び備品</w:t>
            </w:r>
          </w:p>
        </w:tc>
        <w:tc>
          <w:tcPr>
            <w:tcW w:type="dxa" w:w="24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924,000</w:t>
            </w:r>
          </w:p>
        </w:tc>
        <w:tc>
          <w:tcPr>
            <w:tcW w:type="dxa" w:w="24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877,800</w:t>
            </w:r>
          </w:p>
        </w:tc>
        <w:tc>
          <w:tcPr>
            <w:tcW w:type="dxa" w:w="22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95.00％</w:t>
            </w:r>
          </w:p>
        </w:tc>
      </w:tr>
      <w:tr>
        <w:tc>
          <w:tcPr>
            <w:tcW w:type="dxa" w:w="26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量水器</w:t>
            </w:r>
          </w:p>
        </w:tc>
        <w:tc>
          <w:tcPr>
            <w:tcW w:type="dxa" w:w="24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12,643,560</w:t>
            </w:r>
          </w:p>
        </w:tc>
        <w:tc>
          <w:tcPr>
            <w:tcW w:type="dxa" w:w="24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2,852,732</w:t>
            </w:r>
          </w:p>
        </w:tc>
        <w:tc>
          <w:tcPr>
            <w:tcW w:type="dxa" w:w="22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22.56％</w:t>
            </w:r>
          </w:p>
        </w:tc>
      </w:tr>
      <w:tr>
        <w:tc>
          <w:tcPr>
            <w:tcW w:type="dxa" w:w="26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7"/>
                <w:szCs w:val="17"/>
              </w:rPr>
              <w:t xml:space="preserve">償却対象資産 計</w:t>
            </w:r>
          </w:p>
        </w:tc>
        <w:tc>
          <w:tcPr>
            <w:tcW w:type="dxa" w:w="24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7"/>
                <w:szCs w:val="17"/>
              </w:rPr>
              <w:t xml:space="preserve">14,403,468,966</w:t>
            </w:r>
          </w:p>
        </w:tc>
        <w:tc>
          <w:tcPr>
            <w:tcW w:type="dxa" w:w="24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7"/>
                <w:szCs w:val="17"/>
              </w:rPr>
              <w:t xml:space="preserve">5,319,896,544</w:t>
            </w:r>
          </w:p>
        </w:tc>
        <w:tc>
          <w:tcPr>
            <w:tcW w:type="dxa" w:w="22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7"/>
                <w:szCs w:val="17"/>
              </w:rPr>
              <w:t xml:space="preserve">36.93％</w:t>
            </w:r>
          </w:p>
        </w:tc>
      </w:tr>
    </w:tbl>
    <w:p>
      <w:pPr>
        <w:spacing w:after="120"/>
      </w:pPr>
    </w:p>
    <w:p>
      <w:pPr>
        <w:spacing w:after="60" w:before="40" w:line="260"/>
        <w:ind w:left="200"/>
      </w:pPr>
      <w:r>
        <w:rPr>
          <w:rFonts w:ascii="ＭＳ 明朝" w:cs="ＭＳ 明朝" w:eastAsia="ＭＳ 明朝" w:hAnsi="ＭＳ 明朝"/>
          <w:color w:val="404040"/>
          <w:sz w:val="18"/>
          <w:szCs w:val="18"/>
        </w:rPr>
        <w:t xml:space="preserve">※ 土地46,918,915円・建設仮勘定29,400,000円は償却対象外のため除外。累計額の合計は明細書の計と一致。</w:t>
      </w:r>
    </w:p>
    <w:p>
      <w:pPr>
        <w:pStyle w:val="Heading2"/>
        <w:spacing w:after="140" w:before="320"/>
      </w:pPr>
      <w:r>
        <w:rPr>
          <w:rFonts w:ascii="ＭＳ ゴシック" w:cs="ＭＳ ゴシック" w:eastAsia="ＭＳ ゴシック" w:hAnsi="ＭＳ ゴシック"/>
          <w:b/>
          <w:bCs/>
          <w:color w:val="2E75B6"/>
          <w:sz w:val="23"/>
          <w:szCs w:val="23"/>
        </w:rPr>
        <w:t xml:space="preserve">５－２　掲載値との差異</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1800"/>
        <w:gridCol w:w="2200"/>
        <w:gridCol w:w="3600"/>
        <w:gridCol w:w="2000"/>
      </w:tblGrid>
      <w:tr>
        <w:trPr>
          <w:tblHeader/>
        </w:trPr>
        <w:tc>
          <w:tcPr>
            <w:tcW w:type="dxa" w:w="1800"/>
            <w:shd w:fill="2E75B6"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FFFFFF"/>
                <w:sz w:val="17"/>
                <w:szCs w:val="17"/>
              </w:rPr>
              <w:t xml:space="preserve">年　度</w:t>
            </w:r>
          </w:p>
        </w:tc>
        <w:tc>
          <w:tcPr>
            <w:tcW w:type="dxa" w:w="22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7"/>
                <w:szCs w:val="17"/>
              </w:rPr>
              <w:t xml:space="preserve">決算書掲載値</w:t>
            </w:r>
          </w:p>
        </w:tc>
        <w:tc>
          <w:tcPr>
            <w:tcW w:type="dxa" w:w="36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7"/>
                <w:szCs w:val="17"/>
              </w:rPr>
              <w:t xml:space="preserve">明細書からの算定値</w:t>
            </w:r>
          </w:p>
        </w:tc>
        <w:tc>
          <w:tcPr>
            <w:tcW w:type="dxa" w:w="20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7"/>
                <w:szCs w:val="17"/>
              </w:rPr>
              <w:t xml:space="preserve">差</w:t>
            </w:r>
          </w:p>
        </w:tc>
      </w:tr>
      <w:tr>
        <w:tc>
          <w:tcPr>
            <w:tcW w:type="dxa" w:w="18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7"/>
                <w:szCs w:val="17"/>
              </w:rPr>
              <w:t xml:space="preserve">令和６年度</w:t>
            </w:r>
          </w:p>
        </w:tc>
        <w:tc>
          <w:tcPr>
            <w:tcW w:type="dxa" w:w="22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19.43％</w:t>
            </w:r>
          </w:p>
        </w:tc>
        <w:tc>
          <w:tcPr>
            <w:tcW w:type="dxa" w:w="36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19.43％（修正前）／34.46％（修正後）</w:t>
            </w:r>
          </w:p>
        </w:tc>
        <w:tc>
          <w:tcPr>
            <w:tcW w:type="dxa" w:w="20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w:t>
            </w:r>
          </w:p>
        </w:tc>
      </w:tr>
      <w:tr>
        <w:tc>
          <w:tcPr>
            <w:tcW w:type="dxa" w:w="1800"/>
            <w:shd w:fill="FCE4E4"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000000"/>
                <w:sz w:val="17"/>
                <w:szCs w:val="17"/>
              </w:rPr>
              <w:t xml:space="preserve">令和７年度</w:t>
            </w:r>
          </w:p>
        </w:tc>
        <w:tc>
          <w:tcPr>
            <w:tcW w:type="dxa" w:w="22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7"/>
                <w:szCs w:val="17"/>
              </w:rPr>
              <w:t xml:space="preserve">22.07％</w:t>
            </w:r>
          </w:p>
        </w:tc>
        <w:tc>
          <w:tcPr>
            <w:tcW w:type="dxa" w:w="36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7"/>
                <w:szCs w:val="17"/>
              </w:rPr>
              <w:t xml:space="preserve">36.93％</w:t>
            </w:r>
          </w:p>
        </w:tc>
        <w:tc>
          <w:tcPr>
            <w:tcW w:type="dxa" w:w="20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7"/>
                <w:szCs w:val="17"/>
              </w:rPr>
              <w:t xml:space="preserve">14.86pt</w:t>
            </w:r>
          </w:p>
        </w:tc>
      </w:tr>
    </w:tbl>
    <w:p>
      <w:pPr>
        <w:pStyle w:val="Heading2"/>
        <w:spacing w:after="140" w:before="320"/>
      </w:pPr>
      <w:r>
        <w:rPr>
          <w:rFonts w:ascii="ＭＳ ゴシック" w:cs="ＭＳ ゴシック" w:eastAsia="ＭＳ ゴシック" w:hAnsi="ＭＳ ゴシック"/>
          <w:b/>
          <w:bCs/>
          <w:color w:val="2E75B6"/>
          <w:sz w:val="23"/>
          <w:szCs w:val="23"/>
        </w:rPr>
        <w:t xml:space="preserve">５－３　分子・分母の組合せによる検証</w:t>
      </w:r>
    </w:p>
    <w:p>
      <w:pPr>
        <w:spacing w:after="120" w:before="0" w:line="300"/>
        <w:jc w:val="both"/>
      </w:pPr>
      <w:r>
        <w:rPr>
          <w:rFonts w:ascii="ＭＳ 明朝" w:cs="ＭＳ 明朝" w:eastAsia="ＭＳ 明朝" w:hAnsi="ＭＳ 明朝"/>
          <w:b w:val="false"/>
          <w:bCs w:val="false"/>
          <w:color w:val="000000"/>
          <w:sz w:val="21"/>
          <w:szCs w:val="21"/>
        </w:rPr>
        <w:t xml:space="preserve">　「分母の定義が違うだけではないか」という反論を排除するため、分子２通り×分母４通りの８通りを検証しました。</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2600"/>
        <w:gridCol w:w="3400"/>
        <w:gridCol w:w="1800"/>
        <w:gridCol w:w="1800"/>
      </w:tblGrid>
      <w:tr>
        <w:trPr>
          <w:tblHeader/>
        </w:trPr>
        <w:tc>
          <w:tcPr>
            <w:tcW w:type="dxa" w:w="26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分　子</w:t>
            </w:r>
          </w:p>
        </w:tc>
        <w:tc>
          <w:tcPr>
            <w:tcW w:type="dxa" w:w="34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分　母</w:t>
            </w:r>
          </w:p>
        </w:tc>
        <w:tc>
          <w:tcPr>
            <w:tcW w:type="dxa" w:w="18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比　率</w:t>
            </w:r>
          </w:p>
        </w:tc>
        <w:tc>
          <w:tcPr>
            <w:tcW w:type="dxa" w:w="18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22.07％との差</w:t>
            </w:r>
          </w:p>
        </w:tc>
      </w:tr>
      <w:tr>
        <w:tc>
          <w:tcPr>
            <w:tcW w:type="dxa" w:w="26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修正後の累計額</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5,319,896,544</w:t>
            </w:r>
          </w:p>
        </w:tc>
        <w:tc>
          <w:tcPr>
            <w:tcW w:type="dxa" w:w="34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償却対象資産・年度末</w:t>
            </w:r>
          </w:p>
        </w:tc>
        <w:tc>
          <w:tcPr>
            <w:tcW w:type="dxa" w:w="18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36.93％</w:t>
            </w:r>
          </w:p>
        </w:tc>
        <w:tc>
          <w:tcPr>
            <w:tcW w:type="dxa" w:w="18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＋14.86pt</w:t>
            </w:r>
          </w:p>
        </w:tc>
      </w:tr>
      <w:tr>
        <w:tc>
          <w:tcPr>
            <w:tcW w:type="dxa" w:w="26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
            </w:r>
          </w:p>
        </w:tc>
        <w:tc>
          <w:tcPr>
            <w:tcW w:type="dxa" w:w="34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償却対象資産・年度当初（修正前）</w:t>
            </w:r>
          </w:p>
        </w:tc>
        <w:tc>
          <w:tcPr>
            <w:tcW w:type="dxa" w:w="18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37.20％</w:t>
            </w:r>
          </w:p>
        </w:tc>
        <w:tc>
          <w:tcPr>
            <w:tcW w:type="dxa" w:w="18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＋15.13pt</w:t>
            </w:r>
          </w:p>
        </w:tc>
      </w:tr>
      <w:tr>
        <w:tc>
          <w:tcPr>
            <w:tcW w:type="dxa" w:w="26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
            </w:r>
          </w:p>
        </w:tc>
        <w:tc>
          <w:tcPr>
            <w:tcW w:type="dxa" w:w="34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有形固定資産計・年度末</w:t>
            </w:r>
          </w:p>
        </w:tc>
        <w:tc>
          <w:tcPr>
            <w:tcW w:type="dxa" w:w="18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36.74％</w:t>
            </w:r>
          </w:p>
        </w:tc>
        <w:tc>
          <w:tcPr>
            <w:tcW w:type="dxa" w:w="18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＋14.67pt</w:t>
            </w:r>
          </w:p>
        </w:tc>
      </w:tr>
      <w:tr>
        <w:tc>
          <w:tcPr>
            <w:tcW w:type="dxa" w:w="26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
            </w:r>
          </w:p>
        </w:tc>
        <w:tc>
          <w:tcPr>
            <w:tcW w:type="dxa" w:w="34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有形固定資産計・年度当初</w:t>
            </w:r>
          </w:p>
        </w:tc>
        <w:tc>
          <w:tcPr>
            <w:tcW w:type="dxa" w:w="18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37.08％</w:t>
            </w:r>
          </w:p>
        </w:tc>
        <w:tc>
          <w:tcPr>
            <w:tcW w:type="dxa" w:w="18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＋15.01pt</w:t>
            </w:r>
          </w:p>
        </w:tc>
      </w:tr>
      <w:tr>
        <w:tc>
          <w:tcPr>
            <w:tcW w:type="dxa" w:w="2600"/>
            <w:shd w:fill="E2F0D9"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6"/>
                <w:szCs w:val="16"/>
              </w:rPr>
              <w:t xml:space="preserve">修正前の累計額（R6末）</w:t>
            </w:r>
          </w:p>
          <w:p>
            <w:pPr>
              <w:spacing w:after="0" w:before="0" w:line="240"/>
              <w:jc w:val="left"/>
            </w:pPr>
            <w:r>
              <w:rPr>
                <w:rFonts w:ascii="ＭＳ ゴシック" w:cs="ＭＳ ゴシック" w:eastAsia="ＭＳ ゴシック" w:hAnsi="ＭＳ ゴシック"/>
                <w:b/>
                <w:bCs/>
                <w:color w:val="000000"/>
                <w:sz w:val="16"/>
                <w:szCs w:val="16"/>
              </w:rPr>
              <w:t xml:space="preserve">＋当年度償却</w:t>
            </w:r>
          </w:p>
          <w:p>
            <w:pPr>
              <w:spacing w:after="0" w:before="0" w:line="240"/>
              <w:jc w:val="left"/>
            </w:pPr>
            <w:r>
              <w:rPr>
                <w:rFonts w:ascii="ＭＳ ゴシック" w:cs="ＭＳ ゴシック" w:eastAsia="ＭＳ ゴシック" w:hAnsi="ＭＳ ゴシック"/>
                <w:b/>
                <w:bCs/>
                <w:color w:val="000000"/>
                <w:sz w:val="16"/>
                <w:szCs w:val="16"/>
              </w:rPr>
              <w:t xml:space="preserve">3,172,136,475</w:t>
            </w:r>
          </w:p>
        </w:tc>
        <w:tc>
          <w:tcPr>
            <w:tcW w:type="dxa" w:w="3400"/>
            <w:shd w:fill="E2F0D9"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償却対象資産・年度末</w:t>
            </w:r>
          </w:p>
        </w:tc>
        <w:tc>
          <w:tcPr>
            <w:tcW w:type="dxa" w:w="1800"/>
            <w:shd w:fill="E2F0D9"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22.02％</w:t>
            </w:r>
          </w:p>
        </w:tc>
        <w:tc>
          <w:tcPr>
            <w:tcW w:type="dxa" w:w="1800"/>
            <w:shd w:fill="E2F0D9"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△0.05pt</w:t>
            </w:r>
          </w:p>
        </w:tc>
      </w:tr>
      <w:tr>
        <w:tc>
          <w:tcPr>
            <w:tcW w:type="dxa" w:w="2600"/>
            <w:shd w:fill="E2F0D9"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
            </w:r>
          </w:p>
        </w:tc>
        <w:tc>
          <w:tcPr>
            <w:tcW w:type="dxa" w:w="3400"/>
            <w:shd w:fill="E2F0D9"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償却対象資産・年度当初（修正前）</w:t>
            </w:r>
          </w:p>
        </w:tc>
        <w:tc>
          <w:tcPr>
            <w:tcW w:type="dxa" w:w="1800"/>
            <w:shd w:fill="E2F0D9"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22.18％</w:t>
            </w:r>
          </w:p>
        </w:tc>
        <w:tc>
          <w:tcPr>
            <w:tcW w:type="dxa" w:w="1800"/>
            <w:shd w:fill="E2F0D9"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＋0.11pt</w:t>
            </w:r>
          </w:p>
        </w:tc>
      </w:tr>
      <w:tr>
        <w:tc>
          <w:tcPr>
            <w:tcW w:type="dxa" w:w="2600"/>
            <w:shd w:fill="E2F0D9"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
            </w:r>
          </w:p>
        </w:tc>
        <w:tc>
          <w:tcPr>
            <w:tcW w:type="dxa" w:w="3400"/>
            <w:shd w:fill="E2F0D9"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有形固定資産計・年度末</w:t>
            </w:r>
          </w:p>
        </w:tc>
        <w:tc>
          <w:tcPr>
            <w:tcW w:type="dxa" w:w="1800"/>
            <w:shd w:fill="E2F0D9"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21.91％</w:t>
            </w:r>
          </w:p>
        </w:tc>
        <w:tc>
          <w:tcPr>
            <w:tcW w:type="dxa" w:w="1800"/>
            <w:shd w:fill="E2F0D9"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△0.16pt</w:t>
            </w:r>
          </w:p>
        </w:tc>
      </w:tr>
      <w:tr>
        <w:tc>
          <w:tcPr>
            <w:tcW w:type="dxa" w:w="2600"/>
            <w:shd w:fill="E2F0D9"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
            </w:r>
          </w:p>
        </w:tc>
        <w:tc>
          <w:tcPr>
            <w:tcW w:type="dxa" w:w="3400"/>
            <w:shd w:fill="E2F0D9"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有形固定資産計・年度当初</w:t>
            </w:r>
          </w:p>
        </w:tc>
        <w:tc>
          <w:tcPr>
            <w:tcW w:type="dxa" w:w="1800"/>
            <w:shd w:fill="E2F0D9"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22.11％</w:t>
            </w:r>
          </w:p>
        </w:tc>
        <w:tc>
          <w:tcPr>
            <w:tcW w:type="dxa" w:w="1800"/>
            <w:shd w:fill="E2F0D9"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＋0.04pt</w:t>
            </w:r>
          </w:p>
        </w:tc>
      </w:tr>
    </w:tbl>
    <w:p>
      <w:pPr>
        <w:spacing w:after="120"/>
      </w:pPr>
    </w:p>
    <w:p>
      <w:pPr>
        <w:pStyle w:val="ListParagraph"/>
        <w:numPr>
          <w:ilvl w:val="0"/>
          <w:numId w:val="2"/>
        </w:numPr>
        <w:spacing w:after="80" w:line="290"/>
      </w:pPr>
      <w:r>
        <w:rPr>
          <w:rFonts w:ascii="ＭＳ 明朝" w:cs="ＭＳ 明朝" w:eastAsia="ＭＳ 明朝" w:hAnsi="ＭＳ 明朝"/>
          <w:sz w:val="21"/>
          <w:szCs w:val="21"/>
        </w:rPr>
        <w:t xml:space="preserve">修正後の累計額を分子とすると、分母をどう取っても36.7〜37.2％にしかなりません。</w:t>
      </w:r>
    </w:p>
    <w:p>
      <w:pPr>
        <w:pStyle w:val="ListParagraph"/>
        <w:numPr>
          <w:ilvl w:val="0"/>
          <w:numId w:val="2"/>
        </w:numPr>
        <w:spacing w:after="80" w:line="290"/>
      </w:pPr>
      <w:r>
        <w:rPr>
          <w:rFonts w:ascii="ＭＳ 明朝" w:cs="ＭＳ 明朝" w:eastAsia="ＭＳ 明朝" w:hAnsi="ＭＳ 明朝"/>
          <w:sz w:val="21"/>
          <w:szCs w:val="21"/>
        </w:rPr>
        <w:t xml:space="preserve">修正前の累計額に当年度償却額を加えた3,172,136,475円を分子とすると、分母をどう取っても21.9〜22.2％の範囲に収まり、掲載値22.07％を含みます。</w:t>
      </w:r>
    </w:p>
    <w:p>
      <w:pPr>
        <w:pStyle w:val="ListParagraph"/>
        <w:numPr>
          <w:ilvl w:val="0"/>
          <w:numId w:val="2"/>
        </w:numPr>
        <w:spacing w:after="80" w:line="290"/>
      </w:pPr>
      <w:r>
        <w:rPr>
          <w:rFonts w:ascii="ＭＳ 明朝" w:cs="ＭＳ 明朝" w:eastAsia="ＭＳ 明朝" w:hAnsi="ＭＳ 明朝"/>
          <w:sz w:val="21"/>
          <w:szCs w:val="21"/>
        </w:rPr>
        <w:t xml:space="preserve">したがって「分母の定義の違い」では説明がつかず、分子に過年度修正が反映されていないと考えるのが最も整合的です。ただしこれは外部からの推定であり、算定根拠の提示を受けたうえで確定させる必要があります。</w:t>
      </w:r>
    </w:p>
    <w:p>
      <w:pPr>
        <w:pStyle w:val="Heading2"/>
        <w:spacing w:after="140" w:before="320"/>
      </w:pPr>
      <w:r>
        <w:rPr>
          <w:rFonts w:ascii="ＭＳ ゴシック" w:cs="ＭＳ ゴシック" w:eastAsia="ＭＳ ゴシック" w:hAnsi="ＭＳ ゴシック"/>
          <w:b/>
          <w:bCs/>
          <w:color w:val="2E75B6"/>
          <w:sz w:val="23"/>
          <w:szCs w:val="23"/>
        </w:rPr>
        <w:t xml:space="preserve">５－４　確認をお願いしたい事項</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3600"/>
        <w:gridCol w:w="1800"/>
        <w:gridCol w:w="4200"/>
      </w:tblGrid>
      <w:tr>
        <w:trPr>
          <w:tblHeader/>
        </w:trPr>
        <w:tc>
          <w:tcPr>
            <w:tcW w:type="dxa" w:w="36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確認事項</w:t>
            </w:r>
          </w:p>
        </w:tc>
        <w:tc>
          <w:tcPr>
            <w:tcW w:type="dxa" w:w="18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確認先</w:t>
            </w:r>
          </w:p>
        </w:tc>
        <w:tc>
          <w:tcPr>
            <w:tcW w:type="dxa" w:w="42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想定される影響</w:t>
            </w:r>
          </w:p>
        </w:tc>
      </w:tr>
      <w:tr>
        <w:tc>
          <w:tcPr>
            <w:tcW w:type="dxa" w:w="36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決算書「経営指標の推移」の有形固定資産減価償却率22.07％の算定根拠（分子・分母の値）</w:t>
            </w:r>
          </w:p>
        </w:tc>
        <w:tc>
          <w:tcPr>
            <w:tcW w:type="dxa" w:w="18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町上下水道課</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会計システム業者</w:t>
            </w:r>
          </w:p>
        </w:tc>
        <w:tc>
          <w:tcPr>
            <w:tcW w:type="dxa" w:w="42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決算状況調査に同じ値を報告している場合、経営比較分析表の公表値にも同じ誤りが波及する</w:t>
            </w:r>
          </w:p>
        </w:tc>
      </w:tr>
      <w:tr>
        <w:tc>
          <w:tcPr>
            <w:tcW w:type="dxa" w:w="36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決算状況調査の該当項目に入力した値</w:t>
            </w:r>
          </w:p>
        </w:tc>
        <w:tc>
          <w:tcPr>
            <w:tcW w:type="dxa" w:w="18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町上下水道課</w:t>
            </w:r>
          </w:p>
        </w:tc>
        <w:tc>
          <w:tcPr>
            <w:tcW w:type="dxa" w:w="42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令和７年度の経営比較分析表（令和９年公表予定）に影響。提出済みの場合は訂正の要否を県と協議</w:t>
            </w:r>
          </w:p>
        </w:tc>
      </w:tr>
      <w:tr>
        <w:tc>
          <w:tcPr>
            <w:tcW w:type="dxa" w:w="36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会計システムの指標算定ロジックが過年度修正を取り込む仕様になっているか</w:t>
            </w:r>
          </w:p>
        </w:tc>
        <w:tc>
          <w:tcPr>
            <w:tcW w:type="dxa" w:w="18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会計システム業者</w:t>
            </w:r>
          </w:p>
        </w:tc>
        <w:tc>
          <w:tcPr>
            <w:tcW w:type="dxa" w:w="42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業務仕様書６(６)「会計システムの見直し」の検討材料となる。過年度修正を指標に反映できないシステムであれば、入替検討の論拠のひとつ</w:t>
            </w:r>
          </w:p>
        </w:tc>
      </w:tr>
    </w:tbl>
    <w:p>
      <w:pPr>
        <w:spacing w:after="120"/>
      </w:pPr>
    </w:p>
    <w:p>
      <w:pPr>
        <w:spacing w:after="60" w:before="40" w:line="260"/>
        <w:ind w:left="200"/>
      </w:pPr>
      <w:r>
        <w:rPr>
          <w:rFonts w:ascii="ＭＳ 明朝" w:cs="ＭＳ 明朝" w:eastAsia="ＭＳ 明朝" w:hAnsi="ＭＳ 明朝"/>
          <w:color w:val="404040"/>
          <w:sz w:val="18"/>
          <w:szCs w:val="18"/>
        </w:rPr>
        <w:t xml:space="preserve">※ 本件は「決算書の数値が誤っている」という指摘ではありません。貸借対照表・損益計算書・固定資産明細書の各表は相互に整合しており、差異があるのは巻頭の「経営指標の推移」に掲載された比率のみです。算定基礎を確認したうえで、必要に応じて訂正または注記を行う趣旨です。</w:t>
      </w:r>
    </w:p>
    <w:p>
      <w:r>
        <w:br w:type="page"/>
      </w:r>
    </w:p>
    <w:p>
      <w:pPr>
        <w:pStyle w:val="Heading1"/>
        <w:pBdr>
          <w:bottom w:val="single" w:color="1F3864" w:sz="12" w:space="4"/>
        </w:pBdr>
        <w:spacing w:after="220" w:before="480"/>
      </w:pPr>
      <w:r>
        <w:rPr>
          <w:rFonts w:ascii="ＭＳ ゴシック" w:cs="ＭＳ ゴシック" w:eastAsia="ＭＳ ゴシック" w:hAnsi="ＭＳ ゴシック"/>
          <w:b/>
          <w:bCs/>
          <w:color w:val="1F3864"/>
          <w:sz w:val="28"/>
          <w:szCs w:val="28"/>
        </w:rPr>
        <w:t xml:space="preserve">第６章　料金改定案の再計算</w:t>
      </w:r>
    </w:p>
    <w:p>
      <w:pPr>
        <w:spacing w:after="120" w:before="0" w:line="300"/>
        <w:jc w:val="both"/>
      </w:pPr>
      <w:r>
        <w:rPr>
          <w:rFonts w:ascii="ＭＳ 明朝" w:cs="ＭＳ 明朝" w:eastAsia="ＭＳ 明朝" w:hAnsi="ＭＳ 明朝"/>
          <w:b w:val="false"/>
          <w:bCs w:val="false"/>
          <w:color w:val="000000"/>
          <w:sz w:val="21"/>
          <w:szCs w:val="21"/>
        </w:rPr>
        <w:t xml:space="preserve">　調定データ（令和７年度１か月分・3,056件。湯屋用２件と委託船舶給水用１件は特例料金のため除外）を用いて、改定案別の料金を１件ずつ再計算しました。個人が特定されうるため、以下は水量帯別・口径別の集計のみを掲載します。金額はすべて税込です。</w:t>
      </w:r>
    </w:p>
    <w:p>
      <w:pPr>
        <w:pStyle w:val="Heading2"/>
        <w:spacing w:after="140" w:before="320"/>
      </w:pPr>
      <w:r>
        <w:rPr>
          <w:rFonts w:ascii="ＭＳ ゴシック" w:cs="ＭＳ ゴシック" w:eastAsia="ＭＳ ゴシック" w:hAnsi="ＭＳ ゴシック"/>
          <w:b/>
          <w:bCs/>
          <w:color w:val="2E75B6"/>
          <w:sz w:val="23"/>
          <w:szCs w:val="23"/>
        </w:rPr>
        <w:t xml:space="preserve">６－１　料金体系の確定</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1900"/>
        <w:gridCol w:w="2900"/>
        <w:gridCol w:w="2400"/>
        <w:gridCol w:w="2400"/>
      </w:tblGrid>
      <w:tr>
        <w:trPr>
          <w:tblHeader/>
        </w:trPr>
        <w:tc>
          <w:tcPr>
            <w:tcW w:type="dxa" w:w="19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区　分</w:t>
            </w:r>
          </w:p>
        </w:tc>
        <w:tc>
          <w:tcPr>
            <w:tcW w:type="dxa" w:w="29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基本料金</w:t>
            </w:r>
          </w:p>
        </w:tc>
        <w:tc>
          <w:tcPr>
            <w:tcW w:type="dxa" w:w="24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従量料金</w:t>
            </w:r>
          </w:p>
        </w:tc>
        <w:tc>
          <w:tcPr>
            <w:tcW w:type="dxa" w:w="24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メーター使用料</w:t>
            </w:r>
          </w:p>
        </w:tc>
      </w:tr>
      <w:tr>
        <w:tc>
          <w:tcPr>
            <w:tcW w:type="dxa" w:w="1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現行</w:t>
            </w:r>
          </w:p>
        </w:tc>
        <w:tc>
          <w:tcPr>
            <w:tcW w:type="dxa" w:w="2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990円（0〜5㎥）</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1,210円（6〜10㎥）</w:t>
            </w:r>
          </w:p>
        </w:tc>
        <w:tc>
          <w:tcPr>
            <w:tcW w:type="dxa" w:w="24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11〜100㎥　121円/㎥</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101㎥超　　110円/㎥</w:t>
            </w:r>
          </w:p>
        </w:tc>
        <w:tc>
          <w:tcPr>
            <w:tcW w:type="dxa" w:w="24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13mm 55／20mm 77／25mm 110</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40mm 220／50mm 880</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75mm 1,100／100mm 1,320</w:t>
            </w:r>
          </w:p>
        </w:tc>
      </w:tr>
      <w:tr>
        <w:tc>
          <w:tcPr>
            <w:tcW w:type="dxa" w:w="19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案3-A</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口径別・標準逓増</w:t>
            </w:r>
          </w:p>
        </w:tc>
        <w:tc>
          <w:tcPr>
            <w:tcW w:type="dxa" w:w="29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13mm 1,100／20mm 1,320</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25mm 1,760／40mm 3,080</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50mm 5,500／75mm 9,900</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100mm 16,500（10㎥込み）</w:t>
            </w:r>
          </w:p>
        </w:tc>
        <w:tc>
          <w:tcPr>
            <w:tcW w:type="dxa" w:w="24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11〜30㎥　132円/㎥</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31〜100㎥　143円/㎥</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100㎥超　　121円/㎥</w:t>
            </w:r>
          </w:p>
        </w:tc>
        <w:tc>
          <w:tcPr>
            <w:tcW w:type="dxa" w:w="24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なし（基本料金に統合）</w:t>
            </w:r>
          </w:p>
        </w:tc>
      </w:tr>
      <w:tr>
        <w:tc>
          <w:tcPr>
            <w:tcW w:type="dxa" w:w="1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基本1.5倍</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＋超過+22円</w:t>
            </w:r>
          </w:p>
        </w:tc>
        <w:tc>
          <w:tcPr>
            <w:tcW w:type="dxa" w:w="2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1,760円（10㎥まで一律）</w:t>
            </w:r>
          </w:p>
        </w:tc>
        <w:tc>
          <w:tcPr>
            <w:tcW w:type="dxa" w:w="24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11〜100㎥　143円/㎥</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101㎥超　　132円/㎥</w:t>
            </w:r>
          </w:p>
        </w:tc>
        <w:tc>
          <w:tcPr>
            <w:tcW w:type="dxa" w:w="24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据置（現行と同じ）</w:t>
            </w:r>
          </w:p>
        </w:tc>
      </w:tr>
    </w:tbl>
    <w:p>
      <w:pPr>
        <w:spacing w:after="120"/>
      </w:pPr>
    </w:p>
    <w:p>
      <w:pPr>
        <w:spacing w:after="60" w:before="40" w:line="260"/>
        <w:ind w:left="200"/>
      </w:pPr>
      <w:r>
        <w:rPr>
          <w:rFonts w:ascii="ＭＳ 明朝" w:cs="ＭＳ 明朝" w:eastAsia="ＭＳ 明朝" w:hAnsi="ＭＳ 明朝"/>
          <w:color w:val="404040"/>
          <w:sz w:val="18"/>
          <w:szCs w:val="18"/>
        </w:rPr>
        <w:t xml:space="preserve">※ 案3-Aの構造は、05シートの試算値（13mm・50㎥＝6,600円、13mm・1,000㎥＝122,650円）から逆算して確定しました。７口径×２水量の計14点すべてで一致を確認しています。</w:t>
      </w:r>
    </w:p>
    <w:p>
      <w:pPr>
        <w:pStyle w:val="Heading2"/>
        <w:spacing w:after="140" w:before="320"/>
      </w:pPr>
      <w:r>
        <w:rPr>
          <w:rFonts w:ascii="ＭＳ ゴシック" w:cs="ＭＳ ゴシック" w:eastAsia="ＭＳ ゴシック" w:hAnsi="ＭＳ ゴシック"/>
          <w:b/>
          <w:bCs/>
          <w:color w:val="2E75B6"/>
          <w:sz w:val="23"/>
          <w:szCs w:val="23"/>
        </w:rPr>
        <w:t xml:space="preserve">６－２　再計算の結果</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2900"/>
        <w:gridCol w:w="1800"/>
        <w:gridCol w:w="1500"/>
        <w:gridCol w:w="1700"/>
        <w:gridCol w:w="1700"/>
      </w:tblGrid>
      <w:tr>
        <w:trPr>
          <w:tblHeader/>
        </w:trPr>
        <w:tc>
          <w:tcPr>
            <w:tcW w:type="dxa" w:w="29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改定案</w:t>
            </w:r>
          </w:p>
        </w:tc>
        <w:tc>
          <w:tcPr>
            <w:tcW w:type="dxa" w:w="18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月額計（円）</w:t>
            </w:r>
          </w:p>
        </w:tc>
        <w:tc>
          <w:tcPr>
            <w:tcW w:type="dxa" w:w="15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増収率</w:t>
            </w:r>
          </w:p>
        </w:tc>
        <w:tc>
          <w:tcPr>
            <w:tcW w:type="dxa" w:w="17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年間増収（千円）</w:t>
            </w:r>
          </w:p>
        </w:tc>
        <w:tc>
          <w:tcPr>
            <w:tcW w:type="dxa" w:w="1700"/>
            <w:shd w:fill="2E75B6"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FFFFFF"/>
                <w:sz w:val="16"/>
                <w:szCs w:val="16"/>
              </w:rPr>
              <w:t xml:space="preserve">改定後供給単価</w:t>
            </w:r>
          </w:p>
        </w:tc>
      </w:tr>
      <w:tr>
        <w:tc>
          <w:tcPr>
            <w:tcW w:type="dxa" w:w="2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現行</w:t>
            </w:r>
          </w:p>
        </w:tc>
        <w:tc>
          <w:tcPr>
            <w:tcW w:type="dxa" w:w="18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10,069,576</w:t>
            </w:r>
          </w:p>
        </w:tc>
        <w:tc>
          <w:tcPr>
            <w:tcW w:type="dxa" w:w="15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w:t>
            </w:r>
          </w:p>
        </w:tc>
        <w:tc>
          <w:tcPr>
            <w:tcW w:type="dxa" w:w="17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w:t>
            </w:r>
          </w:p>
        </w:tc>
        <w:tc>
          <w:tcPr>
            <w:tcW w:type="dxa" w:w="17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税抜116.61円</w:t>
            </w:r>
          </w:p>
          <w:p>
            <w:pPr>
              <w:spacing w:after="0" w:before="0" w:line="240"/>
              <w:jc w:val="center"/>
            </w:pPr>
            <w:r>
              <w:rPr>
                <w:rFonts w:ascii="ＭＳ ゴシック" w:cs="ＭＳ ゴシック" w:eastAsia="ＭＳ ゴシック" w:hAnsi="ＭＳ ゴシック"/>
                <w:b w:val="false"/>
                <w:bCs w:val="false"/>
                <w:color w:val="000000"/>
                <w:sz w:val="16"/>
                <w:szCs w:val="16"/>
              </w:rPr>
              <w:t xml:space="preserve">税込128.27円</w:t>
            </w:r>
          </w:p>
        </w:tc>
      </w:tr>
      <w:tr>
        <w:tc>
          <w:tcPr>
            <w:tcW w:type="dxa" w:w="29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6"/>
                <w:szCs w:val="16"/>
              </w:rPr>
              <w:t xml:space="preserve">案3-A</w:t>
            </w:r>
          </w:p>
          <w:p>
            <w:pPr>
              <w:spacing w:after="0" w:before="0" w:line="240"/>
              <w:jc w:val="left"/>
            </w:pPr>
            <w:r>
              <w:rPr>
                <w:rFonts w:ascii="ＭＳ ゴシック" w:cs="ＭＳ ゴシック" w:eastAsia="ＭＳ ゴシック" w:hAnsi="ＭＳ ゴシック"/>
                <w:b/>
                <w:bCs/>
                <w:color w:val="000000"/>
                <w:sz w:val="16"/>
                <w:szCs w:val="16"/>
              </w:rPr>
              <w:t xml:space="preserve">（メーター使用料を基本料金に統合）</w:t>
            </w:r>
          </w:p>
        </w:tc>
        <w:tc>
          <w:tcPr>
            <w:tcW w:type="dxa" w:w="18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11,232,023</w:t>
            </w:r>
          </w:p>
        </w:tc>
        <w:tc>
          <w:tcPr>
            <w:tcW w:type="dxa" w:w="15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＋11.54％</w:t>
            </w:r>
          </w:p>
        </w:tc>
        <w:tc>
          <w:tcPr>
            <w:tcW w:type="dxa" w:w="17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13,793</w:t>
            </w:r>
          </w:p>
        </w:tc>
        <w:tc>
          <w:tcPr>
            <w:tcW w:type="dxa" w:w="1700"/>
            <w:shd w:fill="FCE4E4"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税抜130.07円</w:t>
            </w:r>
          </w:p>
          <w:p>
            <w:pPr>
              <w:spacing w:after="0" w:before="0" w:line="240"/>
              <w:jc w:val="center"/>
            </w:pPr>
            <w:r>
              <w:rPr>
                <w:rFonts w:ascii="ＭＳ ゴシック" w:cs="ＭＳ ゴシック" w:eastAsia="ＭＳ ゴシック" w:hAnsi="ＭＳ ゴシック"/>
                <w:b w:val="false"/>
                <w:bCs w:val="false"/>
                <w:color w:val="000000"/>
                <w:sz w:val="16"/>
                <w:szCs w:val="16"/>
              </w:rPr>
              <w:t xml:space="preserve">税込143.08円</w:t>
            </w:r>
          </w:p>
        </w:tc>
      </w:tr>
      <w:tr>
        <w:tc>
          <w:tcPr>
            <w:tcW w:type="dxa" w:w="29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【感応度】案3-A</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（メーター使用料を別建てで据置）</w:t>
            </w:r>
          </w:p>
        </w:tc>
        <w:tc>
          <w:tcPr>
            <w:tcW w:type="dxa" w:w="18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11,493,163</w:t>
            </w:r>
          </w:p>
        </w:tc>
        <w:tc>
          <w:tcPr>
            <w:tcW w:type="dxa" w:w="15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＋14.14％</w:t>
            </w:r>
          </w:p>
        </w:tc>
        <w:tc>
          <w:tcPr>
            <w:tcW w:type="dxa" w:w="17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16,892</w:t>
            </w:r>
          </w:p>
        </w:tc>
        <w:tc>
          <w:tcPr>
            <w:tcW w:type="dxa" w:w="1700"/>
            <w:shd w:fill="FFF2CC"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税抜133.09円</w:t>
            </w:r>
          </w:p>
          <w:p>
            <w:pPr>
              <w:spacing w:after="0" w:before="0" w:line="240"/>
              <w:jc w:val="center"/>
            </w:pPr>
            <w:r>
              <w:rPr>
                <w:rFonts w:ascii="ＭＳ ゴシック" w:cs="ＭＳ ゴシック" w:eastAsia="ＭＳ ゴシック" w:hAnsi="ＭＳ ゴシック"/>
                <w:b w:val="false"/>
                <w:bCs w:val="false"/>
                <w:color w:val="000000"/>
                <w:sz w:val="16"/>
                <w:szCs w:val="16"/>
              </w:rPr>
              <w:t xml:space="preserve">税込146.40円</w:t>
            </w:r>
          </w:p>
        </w:tc>
      </w:tr>
      <w:tr>
        <w:tc>
          <w:tcPr>
            <w:tcW w:type="dxa" w:w="29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6"/>
                <w:szCs w:val="16"/>
              </w:rPr>
              <w:t xml:space="preserve">基本1.5倍＋超過+22円</w:t>
            </w:r>
          </w:p>
        </w:tc>
        <w:tc>
          <w:tcPr>
            <w:tcW w:type="dxa" w:w="18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13,158,717</w:t>
            </w:r>
          </w:p>
        </w:tc>
        <w:tc>
          <w:tcPr>
            <w:tcW w:type="dxa" w:w="15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＋30.68％</w:t>
            </w:r>
          </w:p>
        </w:tc>
        <w:tc>
          <w:tcPr>
            <w:tcW w:type="dxa" w:w="17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36,654</w:t>
            </w:r>
          </w:p>
        </w:tc>
        <w:tc>
          <w:tcPr>
            <w:tcW w:type="dxa" w:w="1700"/>
            <w:shd w:fill="FCE4E4"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税抜152.39円</w:t>
            </w:r>
          </w:p>
          <w:p>
            <w:pPr>
              <w:spacing w:after="0" w:before="0" w:line="240"/>
              <w:jc w:val="center"/>
            </w:pPr>
            <w:r>
              <w:rPr>
                <w:rFonts w:ascii="ＭＳ ゴシック" w:cs="ＭＳ ゴシック" w:eastAsia="ＭＳ ゴシック" w:hAnsi="ＭＳ ゴシック"/>
                <w:b w:val="false"/>
                <w:bCs w:val="false"/>
                <w:color w:val="000000"/>
                <w:sz w:val="16"/>
                <w:szCs w:val="16"/>
              </w:rPr>
              <w:t xml:space="preserve">税込167.63円</w:t>
            </w:r>
          </w:p>
        </w:tc>
      </w:tr>
    </w:tbl>
    <w:p>
      <w:pPr>
        <w:spacing w:after="120"/>
      </w:pPr>
    </w:p>
    <w:p>
      <w:pPr>
        <w:pStyle w:val="ListParagraph"/>
        <w:numPr>
          <w:ilvl w:val="0"/>
          <w:numId w:val="2"/>
        </w:numPr>
        <w:spacing w:after="80" w:line="290"/>
      </w:pPr>
      <w:r>
        <w:rPr>
          <w:rFonts w:ascii="ＭＳ 明朝" w:cs="ＭＳ 明朝" w:eastAsia="ＭＳ 明朝" w:hAnsi="ＭＳ 明朝"/>
          <w:sz w:val="21"/>
          <w:szCs w:val="21"/>
        </w:rPr>
        <w:t xml:space="preserve">07シートＤ８のＣ案年間増収5,386,479千円は、約390倍の過大です。正しくは約13,800千円となります。</w:t>
      </w:r>
    </w:p>
    <w:p>
      <w:pPr>
        <w:pStyle w:val="ListParagraph"/>
        <w:numPr>
          <w:ilvl w:val="0"/>
          <w:numId w:val="2"/>
        </w:numPr>
        <w:spacing w:after="80" w:line="290"/>
      </w:pPr>
      <w:r>
        <w:rPr>
          <w:rFonts w:ascii="ＭＳ 明朝" w:cs="ＭＳ 明朝" w:eastAsia="ＭＳ 明朝" w:hAnsi="ＭＳ 明朝"/>
          <w:sz w:val="21"/>
          <w:szCs w:val="21"/>
        </w:rPr>
        <w:t xml:space="preserve">年間増収額は「増収率×令和７年度給水収益119,480,750円（税抜）」で算定しています。月次実額×12で算定すると13,949千円となり、156千円の差が生じます。</w:t>
      </w:r>
    </w:p>
    <w:p>
      <w:pPr>
        <w:pStyle w:val="ListParagraph"/>
        <w:numPr>
          <w:ilvl w:val="0"/>
          <w:numId w:val="2"/>
        </w:numPr>
        <w:spacing w:after="80" w:line="290"/>
      </w:pPr>
      <w:r>
        <w:rPr>
          <w:rFonts w:ascii="ＭＳ 明朝" w:cs="ＭＳ 明朝" w:eastAsia="ＭＳ 明朝" w:hAnsi="ＭＳ 明朝"/>
          <w:sz w:val="21"/>
          <w:szCs w:val="21"/>
        </w:rPr>
        <w:t xml:space="preserve">案3-Aでメーター使用料を廃止（基本料金に統合）するか、別建てで据え置くかが05シートからは判別できません。据え置く設計であれば年間増収は16,892千円となり、約3,100千円の差が生じます。設計意図の確認をお願いします。</w:t>
      </w:r>
    </w:p>
    <w:p>
      <w:pPr>
        <w:pStyle w:val="Heading2"/>
        <w:spacing w:after="140" w:before="320"/>
      </w:pPr>
      <w:r>
        <w:rPr>
          <w:rFonts w:ascii="ＭＳ ゴシック" w:cs="ＭＳ ゴシック" w:eastAsia="ＭＳ ゴシック" w:hAnsi="ＭＳ ゴシック"/>
          <w:b/>
          <w:bCs/>
          <w:color w:val="2E75B6"/>
          <w:sz w:val="23"/>
          <w:szCs w:val="23"/>
        </w:rPr>
        <w:t xml:space="preserve">６－３　水量帯別の影響（案3-A・メーター使用料は統合する前提）</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1900"/>
        <w:gridCol w:w="1100"/>
        <w:gridCol w:w="1500"/>
        <w:gridCol w:w="1800"/>
        <w:gridCol w:w="1800"/>
        <w:gridCol w:w="1500"/>
      </w:tblGrid>
      <w:tr>
        <w:trPr>
          <w:tblHeader/>
        </w:trPr>
        <w:tc>
          <w:tcPr>
            <w:tcW w:type="dxa" w:w="19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7"/>
                <w:szCs w:val="17"/>
              </w:rPr>
              <w:t xml:space="preserve">水量帯</w:t>
            </w:r>
          </w:p>
        </w:tc>
        <w:tc>
          <w:tcPr>
            <w:tcW w:type="dxa" w:w="11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7"/>
                <w:szCs w:val="17"/>
              </w:rPr>
              <w:t xml:space="preserve">件数</w:t>
            </w:r>
          </w:p>
        </w:tc>
        <w:tc>
          <w:tcPr>
            <w:tcW w:type="dxa" w:w="15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7"/>
                <w:szCs w:val="17"/>
              </w:rPr>
              <w:t xml:space="preserve">水量（㎥）</w:t>
            </w:r>
          </w:p>
        </w:tc>
        <w:tc>
          <w:tcPr>
            <w:tcW w:type="dxa" w:w="18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7"/>
                <w:szCs w:val="17"/>
              </w:rPr>
              <w:t xml:space="preserve">現行（円）</w:t>
            </w:r>
          </w:p>
        </w:tc>
        <w:tc>
          <w:tcPr>
            <w:tcW w:type="dxa" w:w="18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7"/>
                <w:szCs w:val="17"/>
              </w:rPr>
              <w:t xml:space="preserve">案3-A（円）</w:t>
            </w:r>
          </w:p>
        </w:tc>
        <w:tc>
          <w:tcPr>
            <w:tcW w:type="dxa" w:w="15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7"/>
                <w:szCs w:val="17"/>
              </w:rPr>
              <w:t xml:space="preserve">増減率</w:t>
            </w:r>
          </w:p>
        </w:tc>
      </w:tr>
      <w:tr>
        <w:tc>
          <w:tcPr>
            <w:tcW w:type="dxa" w:w="19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① 0㎥</w:t>
            </w:r>
          </w:p>
        </w:tc>
        <w:tc>
          <w:tcPr>
            <w:tcW w:type="dxa" w:w="11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314</w:t>
            </w:r>
          </w:p>
        </w:tc>
        <w:tc>
          <w:tcPr>
            <w:tcW w:type="dxa" w:w="15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0</w:t>
            </w:r>
          </w:p>
        </w:tc>
        <w:tc>
          <w:tcPr>
            <w:tcW w:type="dxa" w:w="18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331,133</w:t>
            </w:r>
          </w:p>
        </w:tc>
        <w:tc>
          <w:tcPr>
            <w:tcW w:type="dxa" w:w="18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400,180</w:t>
            </w:r>
          </w:p>
        </w:tc>
        <w:tc>
          <w:tcPr>
            <w:tcW w:type="dxa" w:w="15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7"/>
                <w:szCs w:val="17"/>
              </w:rPr>
              <w:t xml:space="preserve">＋20.9％</w:t>
            </w:r>
          </w:p>
        </w:tc>
      </w:tr>
      <w:tr>
        <w:tc>
          <w:tcPr>
            <w:tcW w:type="dxa" w:w="19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② 1〜5㎥</w:t>
            </w:r>
          </w:p>
        </w:tc>
        <w:tc>
          <w:tcPr>
            <w:tcW w:type="dxa" w:w="11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561</w:t>
            </w:r>
          </w:p>
        </w:tc>
        <w:tc>
          <w:tcPr>
            <w:tcW w:type="dxa" w:w="15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1,667</w:t>
            </w:r>
          </w:p>
        </w:tc>
        <w:tc>
          <w:tcPr>
            <w:tcW w:type="dxa" w:w="18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593,956</w:t>
            </w:r>
          </w:p>
        </w:tc>
        <w:tc>
          <w:tcPr>
            <w:tcW w:type="dxa" w:w="18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732,160</w:t>
            </w:r>
          </w:p>
        </w:tc>
        <w:tc>
          <w:tcPr>
            <w:tcW w:type="dxa" w:w="1500"/>
            <w:shd w:fill="FCE4E4"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7"/>
                <w:szCs w:val="17"/>
              </w:rPr>
              <w:t xml:space="preserve">＋23.3％</w:t>
            </w:r>
          </w:p>
        </w:tc>
      </w:tr>
      <w:tr>
        <w:tc>
          <w:tcPr>
            <w:tcW w:type="dxa" w:w="1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③ 6〜10㎥</w:t>
            </w:r>
          </w:p>
        </w:tc>
        <w:tc>
          <w:tcPr>
            <w:tcW w:type="dxa" w:w="11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625</w:t>
            </w:r>
          </w:p>
        </w:tc>
        <w:tc>
          <w:tcPr>
            <w:tcW w:type="dxa" w:w="15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4,994</w:t>
            </w:r>
          </w:p>
        </w:tc>
        <w:tc>
          <w:tcPr>
            <w:tcW w:type="dxa" w:w="18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802,637</w:t>
            </w:r>
          </w:p>
        </w:tc>
        <w:tc>
          <w:tcPr>
            <w:tcW w:type="dxa" w:w="18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806,520</w:t>
            </w:r>
          </w:p>
        </w:tc>
        <w:tc>
          <w:tcPr>
            <w:tcW w:type="dxa" w:w="15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＋0.5％</w:t>
            </w:r>
          </w:p>
        </w:tc>
      </w:tr>
      <w:tr>
        <w:tc>
          <w:tcPr>
            <w:tcW w:type="dxa" w:w="19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④ 11〜20㎥</w:t>
            </w:r>
          </w:p>
        </w:tc>
        <w:tc>
          <w:tcPr>
            <w:tcW w:type="dxa" w:w="11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859</w:t>
            </w:r>
          </w:p>
        </w:tc>
        <w:tc>
          <w:tcPr>
            <w:tcW w:type="dxa" w:w="15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12,949</w:t>
            </w:r>
          </w:p>
        </w:tc>
        <w:tc>
          <w:tcPr>
            <w:tcW w:type="dxa" w:w="18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1,630,849</w:t>
            </w:r>
          </w:p>
        </w:tc>
        <w:tc>
          <w:tcPr>
            <w:tcW w:type="dxa" w:w="18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1,687,488</w:t>
            </w:r>
          </w:p>
        </w:tc>
        <w:tc>
          <w:tcPr>
            <w:tcW w:type="dxa" w:w="15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＋3.5％</w:t>
            </w:r>
          </w:p>
        </w:tc>
      </w:tr>
      <w:tr>
        <w:tc>
          <w:tcPr>
            <w:tcW w:type="dxa" w:w="1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⑤ 21〜50㎥</w:t>
            </w:r>
          </w:p>
        </w:tc>
        <w:tc>
          <w:tcPr>
            <w:tcW w:type="dxa" w:w="11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579</w:t>
            </w:r>
          </w:p>
        </w:tc>
        <w:tc>
          <w:tcPr>
            <w:tcW w:type="dxa" w:w="15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16,356</w:t>
            </w:r>
          </w:p>
        </w:tc>
        <w:tc>
          <w:tcPr>
            <w:tcW w:type="dxa" w:w="18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2,025,221</w:t>
            </w:r>
          </w:p>
        </w:tc>
        <w:tc>
          <w:tcPr>
            <w:tcW w:type="dxa" w:w="18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2,186,415</w:t>
            </w:r>
          </w:p>
        </w:tc>
        <w:tc>
          <w:tcPr>
            <w:tcW w:type="dxa" w:w="15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＋8.0％</w:t>
            </w:r>
          </w:p>
        </w:tc>
      </w:tr>
      <w:tr>
        <w:tc>
          <w:tcPr>
            <w:tcW w:type="dxa" w:w="19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⑥ 51〜100㎥</w:t>
            </w:r>
          </w:p>
        </w:tc>
        <w:tc>
          <w:tcPr>
            <w:tcW w:type="dxa" w:w="11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47</w:t>
            </w:r>
          </w:p>
        </w:tc>
        <w:tc>
          <w:tcPr>
            <w:tcW w:type="dxa" w:w="15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3,266</w:t>
            </w:r>
          </w:p>
        </w:tc>
        <w:tc>
          <w:tcPr>
            <w:tcW w:type="dxa" w:w="18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403,205</w:t>
            </w:r>
          </w:p>
        </w:tc>
        <w:tc>
          <w:tcPr>
            <w:tcW w:type="dxa" w:w="18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490,688</w:t>
            </w:r>
          </w:p>
        </w:tc>
        <w:tc>
          <w:tcPr>
            <w:tcW w:type="dxa" w:w="15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7"/>
                <w:szCs w:val="17"/>
              </w:rPr>
              <w:t xml:space="preserve">＋21.7％</w:t>
            </w:r>
          </w:p>
        </w:tc>
      </w:tr>
      <w:tr>
        <w:tc>
          <w:tcPr>
            <w:tcW w:type="dxa" w:w="19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⑦ 101〜500㎥</w:t>
            </w:r>
          </w:p>
        </w:tc>
        <w:tc>
          <w:tcPr>
            <w:tcW w:type="dxa" w:w="11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51</w:t>
            </w:r>
          </w:p>
        </w:tc>
        <w:tc>
          <w:tcPr>
            <w:tcW w:type="dxa" w:w="15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10,248</w:t>
            </w:r>
          </w:p>
        </w:tc>
        <w:tc>
          <w:tcPr>
            <w:tcW w:type="dxa" w:w="18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1,201,145</w:t>
            </w:r>
          </w:p>
        </w:tc>
        <w:tc>
          <w:tcPr>
            <w:tcW w:type="dxa" w:w="18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1,446,698</w:t>
            </w:r>
          </w:p>
        </w:tc>
        <w:tc>
          <w:tcPr>
            <w:tcW w:type="dxa" w:w="15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7"/>
                <w:szCs w:val="17"/>
              </w:rPr>
              <w:t xml:space="preserve">＋20.4％</w:t>
            </w:r>
          </w:p>
        </w:tc>
      </w:tr>
      <w:tr>
        <w:tc>
          <w:tcPr>
            <w:tcW w:type="dxa" w:w="19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7"/>
                <w:szCs w:val="17"/>
              </w:rPr>
              <w:t xml:space="preserve">⑧ 501㎥超</w:t>
            </w:r>
          </w:p>
        </w:tc>
        <w:tc>
          <w:tcPr>
            <w:tcW w:type="dxa" w:w="11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20</w:t>
            </w:r>
          </w:p>
        </w:tc>
        <w:tc>
          <w:tcPr>
            <w:tcW w:type="dxa" w:w="15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27,694</w:t>
            </w:r>
          </w:p>
        </w:tc>
        <w:tc>
          <w:tcPr>
            <w:tcW w:type="dxa" w:w="18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3,081,430</w:t>
            </w:r>
          </w:p>
        </w:tc>
        <w:tc>
          <w:tcPr>
            <w:tcW w:type="dxa" w:w="18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3,481,874</w:t>
            </w:r>
          </w:p>
        </w:tc>
        <w:tc>
          <w:tcPr>
            <w:tcW w:type="dxa" w:w="15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7"/>
                <w:szCs w:val="17"/>
              </w:rPr>
              <w:t xml:space="preserve">＋13.0％</w:t>
            </w:r>
          </w:p>
        </w:tc>
      </w:tr>
      <w:tr>
        <w:tc>
          <w:tcPr>
            <w:tcW w:type="dxa" w:w="1900"/>
            <w:shd w:fill="E2F0D9"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7"/>
                <w:szCs w:val="17"/>
              </w:rPr>
              <w:t xml:space="preserve">合計</w:t>
            </w:r>
          </w:p>
        </w:tc>
        <w:tc>
          <w:tcPr>
            <w:tcW w:type="dxa" w:w="1100"/>
            <w:shd w:fill="E2F0D9"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7"/>
                <w:szCs w:val="17"/>
              </w:rPr>
              <w:t xml:space="preserve">3,056</w:t>
            </w:r>
          </w:p>
        </w:tc>
        <w:tc>
          <w:tcPr>
            <w:tcW w:type="dxa" w:w="1500"/>
            <w:shd w:fill="E2F0D9"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7"/>
                <w:szCs w:val="17"/>
              </w:rPr>
              <w:t xml:space="preserve">77,174</w:t>
            </w:r>
          </w:p>
        </w:tc>
        <w:tc>
          <w:tcPr>
            <w:tcW w:type="dxa" w:w="1800"/>
            <w:shd w:fill="E2F0D9"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7"/>
                <w:szCs w:val="17"/>
              </w:rPr>
              <w:t xml:space="preserve">10,069,576</w:t>
            </w:r>
          </w:p>
        </w:tc>
        <w:tc>
          <w:tcPr>
            <w:tcW w:type="dxa" w:w="1800"/>
            <w:shd w:fill="E2F0D9"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7"/>
                <w:szCs w:val="17"/>
              </w:rPr>
              <w:t xml:space="preserve">11,232,023</w:t>
            </w:r>
          </w:p>
        </w:tc>
        <w:tc>
          <w:tcPr>
            <w:tcW w:type="dxa" w:w="1500"/>
            <w:shd w:fill="E2F0D9"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7"/>
                <w:szCs w:val="17"/>
              </w:rPr>
              <w:t xml:space="preserve">＋11.5％</w:t>
            </w:r>
          </w:p>
        </w:tc>
      </w:tr>
    </w:tbl>
    <w:p>
      <w:pPr>
        <w:spacing w:after="120"/>
      </w:pPr>
    </w:p>
    <w:p>
      <w:pPr>
        <w:pStyle w:val="ListParagraph"/>
        <w:numPr>
          <w:ilvl w:val="0"/>
          <w:numId w:val="2"/>
        </w:numPr>
        <w:spacing w:after="80" w:line="290"/>
      </w:pPr>
      <w:r>
        <w:rPr>
          <w:rFonts w:ascii="ＭＳ 明朝" w:cs="ＭＳ 明朝" w:eastAsia="ＭＳ 明朝" w:hAnsi="ＭＳ 明朝"/>
          <w:sz w:val="21"/>
          <w:szCs w:val="21"/>
        </w:rPr>
        <w:t xml:space="preserve">案3-Aは、口径別基本料金の導入により0㎥・少量利用者（875件・全体の29％）の負担が＋21〜23％と最も大きくなります。</w:t>
      </w:r>
    </w:p>
    <w:p>
      <w:pPr>
        <w:pStyle w:val="ListParagraph"/>
        <w:numPr>
          <w:ilvl w:val="0"/>
          <w:numId w:val="2"/>
        </w:numPr>
        <w:spacing w:after="80" w:line="290"/>
      </w:pPr>
      <w:r>
        <w:rPr>
          <w:rFonts w:ascii="ＭＳ 明朝" w:cs="ＭＳ 明朝" w:eastAsia="ＭＳ 明朝" w:hAnsi="ＭＳ 明朝"/>
          <w:sz w:val="21"/>
          <w:szCs w:val="21"/>
        </w:rPr>
        <w:t xml:space="preserve">一方、11〜20㎥の標準的な世帯は＋3.5％にとどまり、13mmの標準世帯（20㎥）はメーター使用料が基本料金に統合されるため実質△2.2％となります。</w:t>
      </w:r>
    </w:p>
    <w:p>
      <w:pPr>
        <w:pStyle w:val="ListParagraph"/>
        <w:numPr>
          <w:ilvl w:val="0"/>
          <w:numId w:val="2"/>
        </w:numPr>
        <w:spacing w:after="80" w:line="290"/>
      </w:pPr>
      <w:r>
        <w:rPr>
          <w:rFonts w:ascii="ＭＳ 明朝" w:cs="ＭＳ 明朝" w:eastAsia="ＭＳ 明朝" w:hAnsi="ＭＳ 明朝"/>
          <w:sz w:val="21"/>
          <w:szCs w:val="21"/>
        </w:rPr>
        <w:t xml:space="preserve">「大口の負担が増える体系」という説明は成立しません。少量利用者に負担が偏る配分となる点を、住民説明の前に整理しておく必要があります。</w:t>
      </w:r>
    </w:p>
    <w:p>
      <w:pPr>
        <w:spacing w:after="60" w:before="40" w:line="260"/>
        <w:ind w:left="200"/>
      </w:pPr>
      <w:r>
        <w:rPr>
          <w:rFonts w:ascii="ＭＳ 明朝" w:cs="ＭＳ 明朝" w:eastAsia="ＭＳ 明朝" w:hAnsi="ＭＳ 明朝"/>
          <w:color w:val="404040"/>
          <w:sz w:val="18"/>
          <w:szCs w:val="18"/>
        </w:rPr>
        <w:t xml:space="preserve">※ ただし0㎥の314件には休止中の給水装置・空き家が含まれる可能性があり、そのすべてが生活困窮世帯というわけではありません。用途区分・休止区分との突合が必要です。</w:t>
      </w:r>
    </w:p>
    <w:p>
      <w:pPr>
        <w:pStyle w:val="Heading2"/>
        <w:spacing w:after="140" w:before="320"/>
      </w:pPr>
      <w:r>
        <w:rPr>
          <w:rFonts w:ascii="ＭＳ ゴシック" w:cs="ＭＳ ゴシック" w:eastAsia="ＭＳ ゴシック" w:hAnsi="ＭＳ ゴシック"/>
          <w:b/>
          <w:bCs/>
          <w:color w:val="2E75B6"/>
          <w:sz w:val="23"/>
          <w:szCs w:val="23"/>
        </w:rPr>
        <w:t xml:space="preserve">６－４　モデルケース別の影響</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2500"/>
        <w:gridCol w:w="1400"/>
        <w:gridCol w:w="1400"/>
        <w:gridCol w:w="1200"/>
        <w:gridCol w:w="1900"/>
        <w:gridCol w:w="1200"/>
      </w:tblGrid>
      <w:tr>
        <w:trPr>
          <w:tblHeader/>
        </w:trPr>
        <w:tc>
          <w:tcPr>
            <w:tcW w:type="dxa" w:w="25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区　分</w:t>
            </w:r>
          </w:p>
        </w:tc>
        <w:tc>
          <w:tcPr>
            <w:tcW w:type="dxa" w:w="14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現行（円）</w:t>
            </w:r>
          </w:p>
        </w:tc>
        <w:tc>
          <w:tcPr>
            <w:tcW w:type="dxa" w:w="14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案3-A（円）</w:t>
            </w:r>
          </w:p>
        </w:tc>
        <w:tc>
          <w:tcPr>
            <w:tcW w:type="dxa" w:w="12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増減率</w:t>
            </w:r>
          </w:p>
        </w:tc>
        <w:tc>
          <w:tcPr>
            <w:tcW w:type="dxa" w:w="19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基本1.5倍＋22円（円）</w:t>
            </w:r>
          </w:p>
        </w:tc>
        <w:tc>
          <w:tcPr>
            <w:tcW w:type="dxa" w:w="12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増減率</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小規模（家族経営）</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25mm・200㎥／月（5社）</w:t>
            </w:r>
          </w:p>
        </w:tc>
        <w:tc>
          <w:tcPr>
            <w:tcW w:type="dxa" w:w="14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23,210</w:t>
            </w:r>
          </w:p>
        </w:tc>
        <w:tc>
          <w:tcPr>
            <w:tcW w:type="dxa" w:w="14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26,510</w:t>
            </w:r>
          </w:p>
        </w:tc>
        <w:tc>
          <w:tcPr>
            <w:tcW w:type="dxa" w:w="12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＋14.2％</w:t>
            </w:r>
          </w:p>
        </w:tc>
        <w:tc>
          <w:tcPr>
            <w:tcW w:type="dxa" w:w="19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27,940</w:t>
            </w:r>
          </w:p>
        </w:tc>
        <w:tc>
          <w:tcPr>
            <w:tcW w:type="dxa" w:w="12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＋20.4％</w:t>
            </w:r>
          </w:p>
        </w:tc>
      </w:tr>
      <w:tr>
        <w:tc>
          <w:tcPr>
            <w:tcW w:type="dxa" w:w="2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中規模（一般加工）</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50mm・1,000㎥／月（8社）</w:t>
            </w:r>
          </w:p>
        </w:tc>
        <w:tc>
          <w:tcPr>
            <w:tcW w:type="dxa" w:w="14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111,980</w:t>
            </w:r>
          </w:p>
        </w:tc>
        <w:tc>
          <w:tcPr>
            <w:tcW w:type="dxa" w:w="14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127,050</w:t>
            </w:r>
          </w:p>
        </w:tc>
        <w:tc>
          <w:tcPr>
            <w:tcW w:type="dxa" w:w="12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＋13.5％</w:t>
            </w:r>
          </w:p>
        </w:tc>
        <w:tc>
          <w:tcPr>
            <w:tcW w:type="dxa" w:w="19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134,310</w:t>
            </w:r>
          </w:p>
        </w:tc>
        <w:tc>
          <w:tcPr>
            <w:tcW w:type="dxa" w:w="12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＋19.9％</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大規模（冷凍・主要）</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75mm・3,000㎥／月（5社）</w:t>
            </w:r>
          </w:p>
        </w:tc>
        <w:tc>
          <w:tcPr>
            <w:tcW w:type="dxa" w:w="14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332,200</w:t>
            </w:r>
          </w:p>
        </w:tc>
        <w:tc>
          <w:tcPr>
            <w:tcW w:type="dxa" w:w="14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373,450</w:t>
            </w:r>
          </w:p>
        </w:tc>
        <w:tc>
          <w:tcPr>
            <w:tcW w:type="dxa" w:w="12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＋12.4％</w:t>
            </w:r>
          </w:p>
        </w:tc>
        <w:tc>
          <w:tcPr>
            <w:tcW w:type="dxa" w:w="19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398,530</w:t>
            </w:r>
          </w:p>
        </w:tc>
        <w:tc>
          <w:tcPr>
            <w:tcW w:type="dxa" w:w="12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＋20.0％</w:t>
            </w:r>
          </w:p>
        </w:tc>
      </w:tr>
      <w:tr>
        <w:tc>
          <w:tcPr>
            <w:tcW w:type="dxa" w:w="2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超大口（大手）</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100mm・8,000㎥／月（1社）</w:t>
            </w:r>
          </w:p>
        </w:tc>
        <w:tc>
          <w:tcPr>
            <w:tcW w:type="dxa" w:w="14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882,420</w:t>
            </w:r>
          </w:p>
        </w:tc>
        <w:tc>
          <w:tcPr>
            <w:tcW w:type="dxa" w:w="14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985,050</w:t>
            </w:r>
          </w:p>
        </w:tc>
        <w:tc>
          <w:tcPr>
            <w:tcW w:type="dxa" w:w="12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＋11.6％</w:t>
            </w:r>
          </w:p>
        </w:tc>
        <w:tc>
          <w:tcPr>
            <w:tcW w:type="dxa" w:w="19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1,058,750</w:t>
            </w:r>
          </w:p>
        </w:tc>
        <w:tc>
          <w:tcPr>
            <w:tcW w:type="dxa" w:w="12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＋20.0％</w:t>
            </w:r>
          </w:p>
        </w:tc>
      </w:tr>
      <w:tr>
        <w:tc>
          <w:tcPr>
            <w:tcW w:type="dxa" w:w="25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6"/>
                <w:szCs w:val="16"/>
              </w:rPr>
              <w:t xml:space="preserve">標準世帯</w:t>
            </w:r>
          </w:p>
          <w:p>
            <w:pPr>
              <w:spacing w:after="0" w:before="0" w:line="240"/>
              <w:jc w:val="left"/>
            </w:pPr>
            <w:r>
              <w:rPr>
                <w:rFonts w:ascii="ＭＳ ゴシック" w:cs="ＭＳ ゴシック" w:eastAsia="ＭＳ ゴシック" w:hAnsi="ＭＳ ゴシック"/>
                <w:b/>
                <w:bCs/>
                <w:color w:val="000000"/>
                <w:sz w:val="16"/>
                <w:szCs w:val="16"/>
              </w:rPr>
              <w:t xml:space="preserve">13mm・20㎥／月</w:t>
            </w:r>
          </w:p>
        </w:tc>
        <w:tc>
          <w:tcPr>
            <w:tcW w:type="dxa" w:w="14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2,475</w:t>
            </w:r>
          </w:p>
        </w:tc>
        <w:tc>
          <w:tcPr>
            <w:tcW w:type="dxa" w:w="14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2,420</w:t>
            </w:r>
          </w:p>
        </w:tc>
        <w:tc>
          <w:tcPr>
            <w:tcW w:type="dxa" w:w="12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△2.2％</w:t>
            </w:r>
          </w:p>
        </w:tc>
        <w:tc>
          <w:tcPr>
            <w:tcW w:type="dxa" w:w="19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3,245</w:t>
            </w:r>
          </w:p>
        </w:tc>
        <w:tc>
          <w:tcPr>
            <w:tcW w:type="dxa" w:w="12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＋31.1％</w:t>
            </w:r>
          </w:p>
        </w:tc>
      </w:tr>
    </w:tbl>
    <w:p>
      <w:pPr>
        <w:spacing w:after="120"/>
      </w:pPr>
    </w:p>
    <w:p>
      <w:pPr>
        <w:pStyle w:val="ListParagraph"/>
        <w:numPr>
          <w:ilvl w:val="0"/>
          <w:numId w:val="2"/>
        </w:numPr>
        <w:spacing w:after="80" w:line="290"/>
      </w:pPr>
      <w:r>
        <w:rPr>
          <w:rFonts w:ascii="ＭＳ 明朝" w:cs="ＭＳ 明朝" w:eastAsia="ＭＳ 明朝" w:hAnsi="ＭＳ 明朝"/>
          <w:sz w:val="21"/>
          <w:szCs w:val="21"/>
        </w:rPr>
        <w:t xml:space="preserve">06シート本文の「案3-Aでは＋140〜＋190％の負担増」は誤りです。同じシートの試算表（Ｍ列）の値＋11.6〜14.2％が正しく、本文と自己矛盾していました。</w:t>
      </w:r>
    </w:p>
    <w:p>
      <w:pPr>
        <w:pStyle w:val="ListParagraph"/>
        <w:numPr>
          <w:ilvl w:val="0"/>
          <w:numId w:val="2"/>
        </w:numPr>
        <w:spacing w:after="80" w:line="290"/>
      </w:pPr>
      <w:r>
        <w:rPr>
          <w:rFonts w:ascii="ＭＳ 明朝" w:cs="ＭＳ 明朝" w:eastAsia="ＭＳ 明朝" w:hAnsi="ＭＳ 明朝"/>
          <w:sz w:val="21"/>
          <w:szCs w:val="21"/>
        </w:rPr>
        <w:t xml:space="preserve">06シートのＧ列（現行体系＋22円超過）・Ｈ列（基本1.5倍＋22円）の試算表の値は、当方の再計算と一致しています。</w:t>
      </w:r>
    </w:p>
    <w:p>
      <w:r>
        <w:br w:type="page"/>
      </w:r>
    </w:p>
    <w:p>
      <w:pPr>
        <w:pStyle w:val="Heading1"/>
        <w:pBdr>
          <w:bottom w:val="single" w:color="1F3864" w:sz="12" w:space="4"/>
        </w:pBdr>
        <w:spacing w:after="220" w:before="480"/>
      </w:pPr>
      <w:r>
        <w:rPr>
          <w:rFonts w:ascii="ＭＳ ゴシック" w:cs="ＭＳ ゴシック" w:eastAsia="ＭＳ ゴシック" w:hAnsi="ＭＳ ゴシック"/>
          <w:b/>
          <w:bCs/>
          <w:color w:val="1F3864"/>
          <w:sz w:val="28"/>
          <w:szCs w:val="28"/>
        </w:rPr>
        <w:t xml:space="preserve">第７章　基幹ファイルの修正指示</w:t>
      </w:r>
    </w:p>
    <w:p>
      <w:pPr>
        <w:spacing w:after="120" w:before="0" w:line="300"/>
        <w:jc w:val="both"/>
      </w:pPr>
      <w:r>
        <w:rPr>
          <w:rFonts w:ascii="ＭＳ 明朝" w:cs="ＭＳ 明朝" w:eastAsia="ＭＳ 明朝" w:hAnsi="ＭＳ 明朝"/>
          <w:b w:val="false"/>
          <w:bCs w:val="false"/>
          <w:color w:val="000000"/>
          <w:sz w:val="21"/>
          <w:szCs w:val="21"/>
        </w:rPr>
        <w:t xml:space="preserve">　onagawa_rate_reform_v1.xlsx について、数値の誤り５点および表示・構成の問題５点の修正値をセル単位で示します。</w:t>
      </w:r>
    </w:p>
    <w:p>
      <w:pPr>
        <w:pStyle w:val="Heading2"/>
        <w:spacing w:after="140" w:before="320"/>
      </w:pPr>
      <w:r>
        <w:rPr>
          <w:rFonts w:ascii="ＭＳ ゴシック" w:cs="ＭＳ ゴシック" w:eastAsia="ＭＳ ゴシック" w:hAnsi="ＭＳ ゴシック"/>
          <w:b/>
          <w:bCs/>
          <w:color w:val="2E75B6"/>
          <w:sz w:val="23"/>
          <w:szCs w:val="23"/>
        </w:rPr>
        <w:t xml:space="preserve">７－１　数値の誤り（要修正）</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700"/>
        <w:gridCol w:w="1900"/>
        <w:gridCol w:w="1900"/>
        <w:gridCol w:w="1900"/>
        <w:gridCol w:w="3200"/>
      </w:tblGrid>
      <w:tr>
        <w:trPr>
          <w:tblHeader/>
        </w:trPr>
        <w:tc>
          <w:tcPr>
            <w:tcW w:type="dxa" w:w="700"/>
            <w:shd w:fill="2E75B6"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FFFFFF"/>
                <w:sz w:val="16"/>
                <w:szCs w:val="16"/>
              </w:rPr>
              <w:t xml:space="preserve">No.</w:t>
            </w:r>
          </w:p>
        </w:tc>
        <w:tc>
          <w:tcPr>
            <w:tcW w:type="dxa" w:w="19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シート・セル</w:t>
            </w:r>
          </w:p>
        </w:tc>
        <w:tc>
          <w:tcPr>
            <w:tcW w:type="dxa" w:w="19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現　行</w:t>
            </w:r>
          </w:p>
        </w:tc>
        <w:tc>
          <w:tcPr>
            <w:tcW w:type="dxa" w:w="19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修　正</w:t>
            </w:r>
          </w:p>
        </w:tc>
        <w:tc>
          <w:tcPr>
            <w:tcW w:type="dxa" w:w="32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根　拠</w:t>
            </w:r>
          </w:p>
        </w:tc>
      </w:tr>
      <w:tr>
        <w:tc>
          <w:tcPr>
            <w:tcW w:type="dxa" w:w="7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000000"/>
                <w:sz w:val="16"/>
                <w:szCs w:val="16"/>
              </w:rPr>
              <w:t xml:space="preserve">1</w:t>
            </w:r>
          </w:p>
        </w:tc>
        <w:tc>
          <w:tcPr>
            <w:tcW w:type="dxa" w:w="1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07_改定案比較表</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Ｄ８</w:t>
            </w:r>
          </w:p>
        </w:tc>
        <w:tc>
          <w:tcPr>
            <w:tcW w:type="dxa" w:w="1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Ｃ案 年間増収</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5,386,479千円</w:t>
            </w:r>
          </w:p>
        </w:tc>
        <w:tc>
          <w:tcPr>
            <w:tcW w:type="dxa" w:w="1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C00000"/>
                <w:sz w:val="16"/>
                <w:szCs w:val="16"/>
              </w:rPr>
              <w:t xml:space="preserve">約13,800千円</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調定データ3,056件で再計算。増収率＋11.54％。現行値は約390倍の過大</w:t>
            </w:r>
          </w:p>
        </w:tc>
      </w:tr>
      <w:tr>
        <w:tc>
          <w:tcPr>
            <w:tcW w:type="dxa" w:w="700"/>
            <w:shd w:fill="F4F8FB"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000000"/>
                <w:sz w:val="16"/>
                <w:szCs w:val="16"/>
              </w:rPr>
              <w:t xml:space="preserve">2</w:t>
            </w:r>
          </w:p>
        </w:tc>
        <w:tc>
          <w:tcPr>
            <w:tcW w:type="dxa" w:w="19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06_水産加工業影響</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Ａ13（本文）</w:t>
            </w:r>
          </w:p>
        </w:tc>
        <w:tc>
          <w:tcPr>
            <w:tcW w:type="dxa" w:w="19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「3-Aでは＋140〜＋190％の負担増」</w:t>
            </w:r>
          </w:p>
        </w:tc>
        <w:tc>
          <w:tcPr>
            <w:tcW w:type="dxa" w:w="19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C00000"/>
                <w:sz w:val="16"/>
                <w:szCs w:val="16"/>
              </w:rPr>
              <w:t xml:space="preserve">「＋11.6〜＋14.2％の負担増」</w:t>
            </w:r>
          </w:p>
        </w:tc>
        <w:tc>
          <w:tcPr>
            <w:tcW w:type="dxa" w:w="32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同じシートのＭ列の値が正しい。本文と自己矛盾していた</w:t>
            </w:r>
          </w:p>
        </w:tc>
      </w:tr>
      <w:tr>
        <w:tc>
          <w:tcPr>
            <w:tcW w:type="dxa" w:w="7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000000"/>
                <w:sz w:val="16"/>
                <w:szCs w:val="16"/>
              </w:rPr>
              <w:t xml:space="preserve">3</w:t>
            </w:r>
          </w:p>
        </w:tc>
        <w:tc>
          <w:tcPr>
            <w:tcW w:type="dxa" w:w="1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02_総括原価</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Ｂ24</w:t>
            </w:r>
          </w:p>
        </w:tc>
        <w:tc>
          <w:tcPr>
            <w:tcW w:type="dxa" w:w="1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改定後供給単価</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約192円/㎥</w:t>
            </w:r>
          </w:p>
        </w:tc>
        <w:tc>
          <w:tcPr>
            <w:tcW w:type="dxa" w:w="1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C00000"/>
                <w:sz w:val="16"/>
                <w:szCs w:val="16"/>
              </w:rPr>
              <w:t xml:space="preserve">税抜152.39円</w:t>
            </w:r>
          </w:p>
          <w:p>
            <w:pPr>
              <w:spacing w:after="0" w:before="0" w:line="240"/>
              <w:jc w:val="left"/>
            </w:pPr>
            <w:r>
              <w:rPr>
                <w:rFonts w:ascii="ＭＳ ゴシック" w:cs="ＭＳ ゴシック" w:eastAsia="ＭＳ ゴシック" w:hAnsi="ＭＳ ゴシック"/>
                <w:b/>
                <w:bCs/>
                <w:color w:val="C00000"/>
                <w:sz w:val="16"/>
                <w:szCs w:val="16"/>
              </w:rPr>
              <w:t xml:space="preserve">税込167.63円</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192円は現行供給単価128.2円（税込）を単純に1.5倍した値。従量料金が収入の大半を占めるため、基本料金を1.5倍しても供給単価は1.5倍にならない</w:t>
            </w:r>
          </w:p>
        </w:tc>
      </w:tr>
      <w:tr>
        <w:tc>
          <w:tcPr>
            <w:tcW w:type="dxa" w:w="700"/>
            <w:shd w:fill="F4F8FB"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3-2</w:t>
            </w:r>
          </w:p>
        </w:tc>
        <w:tc>
          <w:tcPr>
            <w:tcW w:type="dxa" w:w="19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02_総括原価</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Ｂ22</w:t>
            </w:r>
          </w:p>
        </w:tc>
        <w:tc>
          <w:tcPr>
            <w:tcW w:type="dxa" w:w="19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128.2円/㎥</w:t>
            </w:r>
          </w:p>
        </w:tc>
        <w:tc>
          <w:tcPr>
            <w:tcW w:type="dxa" w:w="19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C00000"/>
                <w:sz w:val="16"/>
                <w:szCs w:val="16"/>
              </w:rPr>
              <w:t xml:space="preserve">116.61円（税抜）</w:t>
            </w:r>
          </w:p>
        </w:tc>
        <w:tc>
          <w:tcPr>
            <w:tcW w:type="dxa" w:w="32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決算書の財務分析表の供給単価。税抜・税込の別を必ず併記する</w:t>
            </w:r>
          </w:p>
        </w:tc>
      </w:tr>
      <w:tr>
        <w:tc>
          <w:tcPr>
            <w:tcW w:type="dxa" w:w="7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000000"/>
                <w:sz w:val="16"/>
                <w:szCs w:val="16"/>
              </w:rPr>
              <w:t xml:space="preserve">4</w:t>
            </w:r>
          </w:p>
        </w:tc>
        <w:tc>
          <w:tcPr>
            <w:tcW w:type="dxa" w:w="1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08_住民議会用要約</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Ｂ15・Ｄ15・Ｇ15</w:t>
            </w:r>
          </w:p>
        </w:tc>
        <w:tc>
          <w:tcPr>
            <w:tcW w:type="dxa" w:w="1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標準世帯20㎥</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現行2,395円</w:t>
            </w:r>
          </w:p>
        </w:tc>
        <w:tc>
          <w:tcPr>
            <w:tcW w:type="dxa" w:w="1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C00000"/>
                <w:sz w:val="16"/>
                <w:szCs w:val="16"/>
              </w:rPr>
              <w:t xml:space="preserve">2,475円（税込・13mm）</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料金本体2,420円＋メーター使用料55円。調定データの13mm・20㎥の実績額とも一致。2,395円は根拠不明</w:t>
            </w:r>
          </w:p>
        </w:tc>
      </w:tr>
      <w:tr>
        <w:tc>
          <w:tcPr>
            <w:tcW w:type="dxa" w:w="700"/>
            <w:shd w:fill="F4F8FB"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000000"/>
                <w:sz w:val="16"/>
                <w:szCs w:val="16"/>
              </w:rPr>
              <w:t xml:space="preserve">5</w:t>
            </w:r>
          </w:p>
        </w:tc>
        <w:tc>
          <w:tcPr>
            <w:tcW w:type="dxa" w:w="19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04_パターン2</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Ｂ６</w:t>
            </w:r>
          </w:p>
        </w:tc>
        <w:tc>
          <w:tcPr>
            <w:tcW w:type="dxa" w:w="19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定義① 営業損失</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約▲383,000千円</w:t>
            </w:r>
          </w:p>
        </w:tc>
        <w:tc>
          <w:tcPr>
            <w:tcW w:type="dxa" w:w="19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C00000"/>
                <w:sz w:val="16"/>
                <w:szCs w:val="16"/>
              </w:rPr>
              <w:t xml:space="preserve">▲540,764,505円</w:t>
            </w:r>
          </w:p>
        </w:tc>
        <w:tc>
          <w:tcPr>
            <w:tcW w:type="dxa" w:w="32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営業収益119,522,350円－営業費用660,286,855円（令和７年度決算確定値）</w:t>
            </w:r>
          </w:p>
        </w:tc>
      </w:tr>
      <w:tr>
        <w:tc>
          <w:tcPr>
            <w:tcW w:type="dxa" w:w="7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5-2</w:t>
            </w:r>
          </w:p>
        </w:tc>
        <w:tc>
          <w:tcPr>
            <w:tcW w:type="dxa" w:w="1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04_パターン2</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Ｂ７</w:t>
            </w:r>
          </w:p>
        </w:tc>
        <w:tc>
          <w:tcPr>
            <w:tcW w:type="dxa" w:w="1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定義② 経常損失</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約▲19,415千円</w:t>
            </w:r>
          </w:p>
        </w:tc>
        <w:tc>
          <w:tcPr>
            <w:tcW w:type="dxa" w:w="1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C00000"/>
                <w:sz w:val="16"/>
                <w:szCs w:val="16"/>
              </w:rPr>
              <w:t xml:space="preserve">▲19,589,644円</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経常収益655,339,107円－経常費用674,928,751円</w:t>
            </w:r>
          </w:p>
        </w:tc>
      </w:tr>
    </w:tbl>
    <w:p>
      <w:pPr>
        <w:pStyle w:val="Heading2"/>
        <w:spacing w:after="140" w:before="320"/>
      </w:pPr>
      <w:r>
        <w:rPr>
          <w:rFonts w:ascii="ＭＳ ゴシック" w:cs="ＭＳ ゴシック" w:eastAsia="ＭＳ ゴシック" w:hAnsi="ＭＳ ゴシック"/>
          <w:b/>
          <w:bCs/>
          <w:color w:val="2E75B6"/>
          <w:sz w:val="23"/>
          <w:szCs w:val="23"/>
        </w:rPr>
        <w:t xml:space="preserve">７－２　表示・構成の問題</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700"/>
        <w:gridCol w:w="1900"/>
        <w:gridCol w:w="4200"/>
        <w:gridCol w:w="2800"/>
      </w:tblGrid>
      <w:tr>
        <w:trPr>
          <w:tblHeader/>
        </w:trPr>
        <w:tc>
          <w:tcPr>
            <w:tcW w:type="dxa" w:w="700"/>
            <w:shd w:fill="2E75B6"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FFFFFF"/>
                <w:sz w:val="16"/>
                <w:szCs w:val="16"/>
              </w:rPr>
              <w:t xml:space="preserve">No.</w:t>
            </w:r>
          </w:p>
        </w:tc>
        <w:tc>
          <w:tcPr>
            <w:tcW w:type="dxa" w:w="19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シート・セル</w:t>
            </w:r>
          </w:p>
        </w:tc>
        <w:tc>
          <w:tcPr>
            <w:tcW w:type="dxa" w:w="42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内　容</w:t>
            </w:r>
          </w:p>
        </w:tc>
        <w:tc>
          <w:tcPr>
            <w:tcW w:type="dxa" w:w="28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修　正</w:t>
            </w:r>
          </w:p>
        </w:tc>
      </w:tr>
      <w:tr>
        <w:tc>
          <w:tcPr>
            <w:tcW w:type="dxa" w:w="7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6</w:t>
            </w:r>
          </w:p>
        </w:tc>
        <w:tc>
          <w:tcPr>
            <w:tcW w:type="dxa" w:w="1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03_パターン1</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Ｆ６:Ｆ10</w:t>
            </w:r>
          </w:p>
        </w:tc>
        <w:tc>
          <w:tcPr>
            <w:tcW w:type="dxa" w:w="42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必要改定率（一律）「3.17〜3.32」は倍率表示。3.32とだけ書くと「＋3.32％」と誤読される</w:t>
            </w:r>
          </w:p>
        </w:tc>
        <w:tc>
          <w:tcPr>
            <w:tcW w:type="dxa" w:w="28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「＋217〜232％」または「4.17〜4.32倍」に</w:t>
            </w:r>
          </w:p>
        </w:tc>
      </w:tr>
      <w:tr>
        <w:tc>
          <w:tcPr>
            <w:tcW w:type="dxa" w:w="700"/>
            <w:shd w:fill="F4F8FB"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7</w:t>
            </w:r>
          </w:p>
        </w:tc>
        <w:tc>
          <w:tcPr>
            <w:tcW w:type="dxa" w:w="19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03_パターン1</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Ａ25・Ｅ27:Ｅ30</w:t>
            </w:r>
          </w:p>
        </w:tc>
        <w:tc>
          <w:tcPr>
            <w:tcW w:type="dxa" w:w="42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総括原価ベースの年間不足額392,271千円を「目標」とすると、各改定案の充足率が最大でも9.0％。「残357,072千円は繰入金・段階改定で対応」とあるが、年3.6億円の繰入は現行1.67億円の2倍以上で非現実的</w:t>
            </w:r>
          </w:p>
        </w:tc>
        <w:tc>
          <w:tcPr>
            <w:tcW w:type="dxa" w:w="28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04シートの定義③（キャッシュ不足額）を主軸に組み替える。定義④は中長期の財源総量として位置づける</w:t>
            </w:r>
          </w:p>
        </w:tc>
      </w:tr>
      <w:tr>
        <w:tc>
          <w:tcPr>
            <w:tcW w:type="dxa" w:w="7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8</w:t>
            </w:r>
          </w:p>
        </w:tc>
        <w:tc>
          <w:tcPr>
            <w:tcW w:type="dxa" w:w="1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07 Ｄ６・Ｄ７</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08 Ｂ17・Ｄ17</w:t>
            </w:r>
          </w:p>
        </w:tc>
        <w:tc>
          <w:tcPr>
            <w:tcW w:type="dxa" w:w="42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Ａ案の年間増収が07で28,159千円、08で約35,000千円と不一致。Ｂ案の196,136千円は04シートＦ23の改定後収入に相当する値で、増収額ではない</w:t>
            </w:r>
          </w:p>
        </w:tc>
        <w:tc>
          <w:tcPr>
            <w:tcW w:type="dxa" w:w="28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Ａ案 約36,654千円（調定データ再計算・６－２参照）</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Ｂ案 39,392千円（04シートＢ15の必要増収額）</w:t>
            </w:r>
          </w:p>
        </w:tc>
      </w:tr>
      <w:tr>
        <w:tc>
          <w:tcPr>
            <w:tcW w:type="dxa" w:w="700"/>
            <w:shd w:fill="F4F8FB"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9</w:t>
            </w:r>
          </w:p>
        </w:tc>
        <w:tc>
          <w:tcPr>
            <w:tcW w:type="dxa" w:w="19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05_パターン3</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Ｋ７:Ｋ10</w:t>
            </w:r>
          </w:p>
        </w:tc>
        <w:tc>
          <w:tcPr>
            <w:tcW w:type="dxa" w:w="42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塩竈市参考値が13〜40mmの行で0（未入力）。0のまま公開すると「塩竈市は0円」と誤読される</w:t>
            </w:r>
          </w:p>
        </w:tc>
        <w:tc>
          <w:tcPr>
            <w:tcW w:type="dxa" w:w="28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入力または「－」表記に</w:t>
            </w:r>
          </w:p>
        </w:tc>
      </w:tr>
      <w:tr>
        <w:tc>
          <w:tcPr>
            <w:tcW w:type="dxa" w:w="7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10</w:t>
            </w:r>
          </w:p>
        </w:tc>
        <w:tc>
          <w:tcPr>
            <w:tcW w:type="dxa" w:w="19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全シート</w:t>
            </w:r>
          </w:p>
        </w:tc>
        <w:tc>
          <w:tcPr>
            <w:tcW w:type="dxa" w:w="42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数式は正しく入っているが、計算結果が保存されていない（openpyxlで生成したためキャッシュ値なし）</w:t>
            </w:r>
          </w:p>
        </w:tc>
        <w:tc>
          <w:tcPr>
            <w:tcW w:type="dxa" w:w="28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Excelで開いて上書き保存</w:t>
            </w:r>
          </w:p>
        </w:tc>
      </w:tr>
    </w:tbl>
    <w:p>
      <w:pPr>
        <w:spacing w:after="120"/>
      </w:pPr>
    </w:p>
    <w:p>
      <w:pPr>
        <w:spacing w:after="60" w:before="40" w:line="260"/>
        <w:ind w:left="200"/>
      </w:pPr>
      <w:r>
        <w:rPr>
          <w:rFonts w:ascii="ＭＳ 明朝" w:cs="ＭＳ 明朝" w:eastAsia="ＭＳ 明朝" w:hAnsi="ＭＳ 明朝"/>
          <w:color w:val="404040"/>
          <w:sz w:val="18"/>
          <w:szCs w:val="18"/>
        </w:rPr>
        <w:t xml:space="preserve">※ 02シートの合計行の数式（Ｃ15=SUM(C8:C14)、Ｈ15=SUM(C15:G15)）は正しく組まれています。onagawa_cost_sim_v1.xlsx で確認された累計値のバグは、こちらのファイルにはありません。</w:t>
      </w:r>
    </w:p>
    <w:p>
      <w:pPr>
        <w:pStyle w:val="Heading2"/>
        <w:spacing w:after="140" w:before="320"/>
      </w:pPr>
      <w:r>
        <w:rPr>
          <w:rFonts w:ascii="ＭＳ ゴシック" w:cs="ＭＳ ゴシック" w:eastAsia="ＭＳ ゴシック" w:hAnsi="ＭＳ ゴシック"/>
          <w:b/>
          <w:bCs/>
          <w:color w:val="2E75B6"/>
          <w:sz w:val="23"/>
          <w:szCs w:val="23"/>
        </w:rPr>
        <w:t xml:space="preserve">７－３　前提数値の差替（既報・再掲）</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2500"/>
        <w:gridCol w:w="2200"/>
        <w:gridCol w:w="2400"/>
        <w:gridCol w:w="2500"/>
      </w:tblGrid>
      <w:tr>
        <w:trPr>
          <w:tblHeader/>
        </w:trPr>
        <w:tc>
          <w:tcPr>
            <w:tcW w:type="dxa" w:w="25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項　目</w:t>
            </w:r>
          </w:p>
        </w:tc>
        <w:tc>
          <w:tcPr>
            <w:tcW w:type="dxa" w:w="22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シート・セル</w:t>
            </w:r>
          </w:p>
        </w:tc>
        <w:tc>
          <w:tcPr>
            <w:tcW w:type="dxa" w:w="24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現　行</w:t>
            </w:r>
          </w:p>
        </w:tc>
        <w:tc>
          <w:tcPr>
            <w:tcW w:type="dxa" w:w="25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修　正</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料金算定対象期間</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01_前提条件 Ｂ６</w:t>
            </w:r>
          </w:p>
        </w:tc>
        <w:tc>
          <w:tcPr>
            <w:tcW w:type="dxa" w:w="24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R8〜R12</w:t>
            </w:r>
          </w:p>
        </w:tc>
        <w:tc>
          <w:tcPr>
            <w:tcW w:type="dxa" w:w="2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R9〜R13</w:t>
            </w:r>
          </w:p>
        </w:tc>
      </w:tr>
      <w:tr>
        <w:tc>
          <w:tcPr>
            <w:tcW w:type="dxa" w:w="2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対象資産（期首）</w:t>
            </w:r>
          </w:p>
        </w:tc>
        <w:tc>
          <w:tcPr>
            <w:tcW w:type="dxa" w:w="22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01_前提条件 Ｂ18</w:t>
            </w:r>
          </w:p>
        </w:tc>
        <w:tc>
          <w:tcPr>
            <w:tcW w:type="dxa" w:w="24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1,042,625千円</w:t>
            </w:r>
          </w:p>
        </w:tc>
        <w:tc>
          <w:tcPr>
            <w:tcW w:type="dxa" w:w="2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2,396,601千円（R8末）</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対象資産（期末）</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01_前提条件 Ｂ19</w:t>
            </w:r>
          </w:p>
        </w:tc>
        <w:tc>
          <w:tcPr>
            <w:tcW w:type="dxa" w:w="24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750,000千円</w:t>
            </w:r>
          </w:p>
        </w:tc>
        <w:tc>
          <w:tcPr>
            <w:tcW w:type="dxa" w:w="2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3,838,050千円（R13末）</w:t>
            </w:r>
          </w:p>
        </w:tc>
      </w:tr>
      <w:tr>
        <w:tc>
          <w:tcPr>
            <w:tcW w:type="dxa" w:w="2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対象資産（平均）</w:t>
            </w:r>
          </w:p>
        </w:tc>
        <w:tc>
          <w:tcPr>
            <w:tcW w:type="dxa" w:w="22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01_前提条件 Ｂ20</w:t>
            </w:r>
          </w:p>
        </w:tc>
        <w:tc>
          <w:tcPr>
            <w:tcW w:type="dxa" w:w="24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自動計算</w:t>
            </w:r>
          </w:p>
        </w:tc>
        <w:tc>
          <w:tcPr>
            <w:tcW w:type="dxa" w:w="2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3,117,326千円</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有収水量（5年計）</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02_総括原価 Ｂ19</w:t>
            </w:r>
          </w:p>
        </w:tc>
        <w:tc>
          <w:tcPr>
            <w:tcW w:type="dxa" w:w="24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4,316,000㎥</w:t>
            </w:r>
          </w:p>
        </w:tc>
        <w:tc>
          <w:tcPr>
            <w:tcW w:type="dxa" w:w="2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4,690,698㎥</w:t>
            </w:r>
          </w:p>
        </w:tc>
      </w:tr>
      <w:tr>
        <w:tc>
          <w:tcPr>
            <w:tcW w:type="dxa" w:w="2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長期前受金戻入益の控除</w:t>
            </w:r>
          </w:p>
        </w:tc>
        <w:tc>
          <w:tcPr>
            <w:tcW w:type="dxa" w:w="22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02_総括原価 Ｃ13:Ｇ13</w:t>
            </w:r>
          </w:p>
        </w:tc>
        <w:tc>
          <w:tcPr>
            <w:tcW w:type="dxa" w:w="24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5年計 ▲450,000千円</w:t>
            </w:r>
          </w:p>
        </w:tc>
        <w:tc>
          <w:tcPr>
            <w:tcW w:type="dxa" w:w="2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▲1,510,688千円</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料金回収率</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02_総括原価 Ｅ23</w:t>
            </w:r>
          </w:p>
        </w:tc>
        <w:tc>
          <w:tcPr>
            <w:tcW w:type="dxa" w:w="24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52.87％（R5の値）</w:t>
            </w:r>
          </w:p>
        </w:tc>
        <w:tc>
          <w:tcPr>
            <w:tcW w:type="dxa" w:w="2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35.07％（R7）</w:t>
            </w:r>
          </w:p>
        </w:tc>
      </w:tr>
      <w:tr>
        <w:tc>
          <w:tcPr>
            <w:tcW w:type="dxa" w:w="2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給水原価</w:t>
            </w:r>
          </w:p>
        </w:tc>
        <w:tc>
          <w:tcPr>
            <w:tcW w:type="dxa" w:w="22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02_総括原価 Ｅ21</w:t>
            </w:r>
          </w:p>
        </w:tc>
        <w:tc>
          <w:tcPr>
            <w:tcW w:type="dxa" w:w="24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約242円（R5実績逆算）</w:t>
            </w:r>
          </w:p>
        </w:tc>
        <w:tc>
          <w:tcPr>
            <w:tcW w:type="dxa" w:w="2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332.50円（R7・経営比較分析表の算式）</w:t>
            </w:r>
          </w:p>
        </w:tc>
      </w:tr>
    </w:tbl>
    <w:p>
      <w:r>
        <w:br w:type="page"/>
      </w:r>
    </w:p>
    <w:p>
      <w:pPr>
        <w:pStyle w:val="Heading1"/>
        <w:pBdr>
          <w:bottom w:val="single" w:color="1F3864" w:sz="12" w:space="4"/>
        </w:pBdr>
        <w:spacing w:after="220" w:before="480"/>
      </w:pPr>
      <w:r>
        <w:rPr>
          <w:rFonts w:ascii="ＭＳ ゴシック" w:cs="ＭＳ ゴシック" w:eastAsia="ＭＳ ゴシック" w:hAnsi="ＭＳ ゴシック"/>
          <w:b/>
          <w:bCs/>
          <w:color w:val="1F3864"/>
          <w:sz w:val="28"/>
          <w:szCs w:val="28"/>
        </w:rPr>
        <w:t xml:space="preserve">第８章　住民・議会説明用資料</w:t>
      </w:r>
    </w:p>
    <w:p>
      <w:pPr>
        <w:spacing w:after="120" w:before="0" w:line="300"/>
        <w:jc w:val="both"/>
      </w:pPr>
      <w:r>
        <w:rPr>
          <w:rFonts w:ascii="ＭＳ 明朝" w:cs="ＭＳ 明朝" w:eastAsia="ＭＳ 明朝" w:hAnsi="ＭＳ 明朝"/>
          <w:b w:val="false"/>
          <w:bCs w:val="false"/>
          <w:color w:val="000000"/>
          <w:sz w:val="21"/>
          <w:szCs w:val="21"/>
        </w:rPr>
        <w:t xml:space="preserve">　業務仕様書６(３)の「一部切り抜きをして対住民、対議会で資料として使用できる体裁」に対応するものです。数値はすべて確定値に差し替えています。</w:t>
      </w:r>
    </w:p>
    <w:p>
      <w:pPr>
        <w:pStyle w:val="Heading2"/>
        <w:spacing w:after="140" w:before="320"/>
      </w:pPr>
      <w:r>
        <w:rPr>
          <w:rFonts w:ascii="ＭＳ ゴシック" w:cs="ＭＳ ゴシック" w:eastAsia="ＭＳ ゴシック" w:hAnsi="ＭＳ ゴシック"/>
          <w:b/>
          <w:bCs/>
          <w:color w:val="2E75B6"/>
          <w:sz w:val="23"/>
          <w:szCs w:val="23"/>
        </w:rPr>
        <w:t xml:space="preserve">８－１　なぜ料金改定が必要か</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1800"/>
        <w:gridCol w:w="2200"/>
        <w:gridCol w:w="5600"/>
      </w:tblGrid>
      <w:tr>
        <w:trPr>
          <w:tblHeader/>
        </w:trPr>
        <w:tc>
          <w:tcPr>
            <w:tcW w:type="dxa" w:w="18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論　点</w:t>
            </w:r>
          </w:p>
        </w:tc>
        <w:tc>
          <w:tcPr>
            <w:tcW w:type="dxa" w:w="2200"/>
            <w:shd w:fill="2E75B6"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FFFFFF"/>
                <w:sz w:val="16"/>
                <w:szCs w:val="16"/>
              </w:rPr>
              <w:t xml:space="preserve">現状値</w:t>
            </w:r>
          </w:p>
        </w:tc>
        <w:tc>
          <w:tcPr>
            <w:tcW w:type="dxa" w:w="56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説明方法</w:t>
            </w:r>
          </w:p>
        </w:tc>
      </w:tr>
      <w:tr>
        <w:tc>
          <w:tcPr>
            <w:tcW w:type="dxa" w:w="18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料金回収率</w:t>
            </w:r>
          </w:p>
        </w:tc>
        <w:tc>
          <w:tcPr>
            <w:tcW w:type="dxa" w:w="22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35.07％</w:t>
            </w:r>
          </w:p>
          <w:p>
            <w:pPr>
              <w:spacing w:after="0" w:before="0" w:line="240"/>
              <w:jc w:val="center"/>
            </w:pPr>
            <w:r>
              <w:rPr>
                <w:rFonts w:ascii="ＭＳ ゴシック" w:cs="ＭＳ ゴシック" w:eastAsia="ＭＳ ゴシック" w:hAnsi="ＭＳ ゴシック"/>
                <w:b w:val="false"/>
                <w:bCs w:val="false"/>
                <w:color w:val="000000"/>
                <w:sz w:val="16"/>
                <w:szCs w:val="16"/>
              </w:rPr>
              <w:t xml:space="preserve">（令和７年度）</w:t>
            </w:r>
          </w:p>
        </w:tc>
        <w:tc>
          <w:tcPr>
            <w:tcW w:type="dxa" w:w="56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給水原価332.50円/㎥に対し供給単価116.61円/㎥（いずれも税抜）。かかった費用の約３分の１しか料金で回収できていない。「水１㎥あたり約216円を他会計からの補助等で補填している」と説明できる</w:t>
            </w:r>
          </w:p>
        </w:tc>
      </w:tr>
      <w:tr>
        <w:tc>
          <w:tcPr>
            <w:tcW w:type="dxa" w:w="18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経常収支比率</w:t>
            </w:r>
          </w:p>
        </w:tc>
        <w:tc>
          <w:tcPr>
            <w:tcW w:type="dxa" w:w="2200"/>
            <w:shd w:fill="F4F8FB"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97.10％</w:t>
            </w:r>
          </w:p>
          <w:p>
            <w:pPr>
              <w:spacing w:after="0" w:before="0" w:line="240"/>
              <w:jc w:val="center"/>
            </w:pPr>
            <w:r>
              <w:rPr>
                <w:rFonts w:ascii="ＭＳ ゴシック" w:cs="ＭＳ ゴシック" w:eastAsia="ＭＳ ゴシック" w:hAnsi="ＭＳ ゴシック"/>
                <w:b w:val="false"/>
                <w:bCs w:val="false"/>
                <w:color w:val="000000"/>
                <w:sz w:val="16"/>
                <w:szCs w:val="16"/>
              </w:rPr>
              <w:t xml:space="preserve">（実質72.44％）</w:t>
            </w:r>
          </w:p>
        </w:tc>
        <w:tc>
          <w:tcPr>
            <w:tcW w:type="dxa" w:w="56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令和７年度は江島海底送水管破損に伴う繰出基準外の他会計補助金166,434千円により97.10％まで改善したが、この補助金を経常収益から除くと72.44％（＝488,905千円÷674,929千円）。一過性の要因を除いた実力値で説明する必要がある</w:t>
            </w:r>
          </w:p>
        </w:tc>
      </w:tr>
      <w:tr>
        <w:tc>
          <w:tcPr>
            <w:tcW w:type="dxa" w:w="18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累積欠損金</w:t>
            </w:r>
          </w:p>
        </w:tc>
        <w:tc>
          <w:tcPr>
            <w:tcW w:type="dxa" w:w="22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2,732,933千円</w:t>
            </w:r>
          </w:p>
          <w:p>
            <w:pPr>
              <w:spacing w:after="0" w:before="0" w:line="240"/>
              <w:jc w:val="center"/>
            </w:pPr>
            <w:r>
              <w:rPr>
                <w:rFonts w:ascii="ＭＳ ゴシック" w:cs="ＭＳ ゴシック" w:eastAsia="ＭＳ ゴシック" w:hAnsi="ＭＳ ゴシック"/>
                <w:b w:val="false"/>
                <w:bCs w:val="false"/>
                <w:color w:val="000000"/>
                <w:sz w:val="16"/>
                <w:szCs w:val="16"/>
              </w:rPr>
              <w:t xml:space="preserve">（令和７年度末）</w:t>
            </w:r>
          </w:p>
        </w:tc>
        <w:tc>
          <w:tcPr>
            <w:tcW w:type="dxa" w:w="56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過年度の会計処理誤りの修正1,558,606千円を含む。修正の内容と金額は決算審査意見書に整理されており、第三者による検証で決算書との整合を確認済み</w:t>
            </w:r>
          </w:p>
        </w:tc>
      </w:tr>
      <w:tr>
        <w:tc>
          <w:tcPr>
            <w:tcW w:type="dxa" w:w="18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6"/>
                <w:szCs w:val="16"/>
              </w:rPr>
              <w:t xml:space="preserve">施設の老朽化</w:t>
            </w:r>
          </w:p>
        </w:tc>
        <w:tc>
          <w:tcPr>
            <w:tcW w:type="dxa" w:w="2200"/>
            <w:shd w:fill="FCE4E4"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34.46％（R6・修正後）</w:t>
            </w:r>
          </w:p>
          <w:p>
            <w:pPr>
              <w:spacing w:after="0" w:before="0" w:line="240"/>
              <w:jc w:val="center"/>
            </w:pPr>
            <w:r>
              <w:rPr>
                <w:rFonts w:ascii="ＭＳ ゴシック" w:cs="ＭＳ ゴシック" w:eastAsia="ＭＳ ゴシック" w:hAnsi="ＭＳ ゴシック"/>
                <w:b w:val="false"/>
                <w:bCs w:val="false"/>
                <w:color w:val="000000"/>
                <w:sz w:val="16"/>
                <w:szCs w:val="16"/>
              </w:rPr>
              <w:t xml:space="preserve">36.93％（R7・明細書算定）</w:t>
            </w:r>
          </w:p>
        </w:tc>
        <w:tc>
          <w:tcPr>
            <w:tcW w:type="dxa" w:w="56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決算書掲載の19.43％／22.07％は過年度修正前の減価償却累計額に基づく値。修正後の実態は約35％で、更新需要は公表値より切迫している</w:t>
            </w:r>
          </w:p>
        </w:tc>
      </w:tr>
      <w:tr>
        <w:tc>
          <w:tcPr>
            <w:tcW w:type="dxa" w:w="18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管路の老朽化</w:t>
            </w:r>
          </w:p>
        </w:tc>
        <w:tc>
          <w:tcPr>
            <w:tcW w:type="dxa" w:w="22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経年化率23.16％</w:t>
            </w:r>
          </w:p>
          <w:p>
            <w:pPr>
              <w:spacing w:after="0" w:before="0" w:line="240"/>
              <w:jc w:val="center"/>
            </w:pPr>
            <w:r>
              <w:rPr>
                <w:rFonts w:ascii="ＭＳ ゴシック" w:cs="ＭＳ ゴシック" w:eastAsia="ＭＳ ゴシック" w:hAnsi="ＭＳ ゴシック"/>
                <w:b w:val="false"/>
                <w:bCs w:val="false"/>
                <w:color w:val="000000"/>
                <w:sz w:val="16"/>
                <w:szCs w:val="16"/>
              </w:rPr>
              <w:t xml:space="preserve">更新率0.75％</w:t>
            </w:r>
          </w:p>
        </w:tc>
        <w:tc>
          <w:tcPr>
            <w:tcW w:type="dxa" w:w="56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法定耐用年数を超えた管路が23.16％。現在の更新ペース（年0.75％）では全管路の更新に133年を要する</w:t>
            </w:r>
          </w:p>
        </w:tc>
      </w:tr>
    </w:tbl>
    <w:p>
      <w:pPr>
        <w:pStyle w:val="Heading2"/>
        <w:spacing w:after="140" w:before="320"/>
      </w:pPr>
      <w:r>
        <w:rPr>
          <w:rFonts w:ascii="ＭＳ ゴシック" w:cs="ＭＳ ゴシック" w:eastAsia="ＭＳ ゴシック" w:hAnsi="ＭＳ ゴシック"/>
          <w:b/>
          <w:bCs/>
          <w:color w:val="2E75B6"/>
          <w:sz w:val="23"/>
          <w:szCs w:val="23"/>
        </w:rPr>
        <w:t xml:space="preserve">８－２　標準世帯（20㎥/月・13mm）の月額（税込）</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2100"/>
        <w:gridCol w:w="4000"/>
        <w:gridCol w:w="1700"/>
        <w:gridCol w:w="1800"/>
      </w:tblGrid>
      <w:tr>
        <w:trPr>
          <w:tblHeader/>
        </w:trPr>
        <w:tc>
          <w:tcPr>
            <w:tcW w:type="dxa" w:w="21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改定案</w:t>
            </w:r>
          </w:p>
        </w:tc>
        <w:tc>
          <w:tcPr>
            <w:tcW w:type="dxa" w:w="40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基本料金・従量料金</w:t>
            </w:r>
          </w:p>
        </w:tc>
        <w:tc>
          <w:tcPr>
            <w:tcW w:type="dxa" w:w="1700"/>
            <w:shd w:fill="2E75B6"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FFFFFF"/>
                <w:sz w:val="16"/>
                <w:szCs w:val="16"/>
              </w:rPr>
              <w:t xml:space="preserve">月額（円）</w:t>
            </w:r>
          </w:p>
        </w:tc>
        <w:tc>
          <w:tcPr>
            <w:tcW w:type="dxa" w:w="1800"/>
            <w:shd w:fill="2E75B6"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FFFFFF"/>
                <w:sz w:val="16"/>
                <w:szCs w:val="16"/>
              </w:rPr>
              <w:t xml:space="preserve">現行との差</w:t>
            </w:r>
          </w:p>
        </w:tc>
      </w:tr>
      <w:tr>
        <w:tc>
          <w:tcPr>
            <w:tcW w:type="dxa" w:w="2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現行</w:t>
            </w:r>
          </w:p>
        </w:tc>
        <w:tc>
          <w:tcPr>
            <w:tcW w:type="dxa" w:w="40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基本1,210円（10㎥まで）＋従量121円/㎥＋メーター55円</w:t>
            </w:r>
          </w:p>
        </w:tc>
        <w:tc>
          <w:tcPr>
            <w:tcW w:type="dxa" w:w="17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2,475</w:t>
            </w:r>
          </w:p>
        </w:tc>
        <w:tc>
          <w:tcPr>
            <w:tcW w:type="dxa" w:w="18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w:t>
            </w:r>
          </w:p>
        </w:tc>
      </w:tr>
      <w:tr>
        <w:tc>
          <w:tcPr>
            <w:tcW w:type="dxa" w:w="21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Ａ案（現行体系維持）</w:t>
            </w:r>
          </w:p>
        </w:tc>
        <w:tc>
          <w:tcPr>
            <w:tcW w:type="dxa" w:w="40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基本1,320〜1,540円＋従量132〜143円/㎥＋メーター55円</w:t>
            </w:r>
          </w:p>
        </w:tc>
        <w:tc>
          <w:tcPr>
            <w:tcW w:type="dxa" w:w="1700"/>
            <w:shd w:fill="F4F8FB"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2,695〜3,025</w:t>
            </w:r>
          </w:p>
        </w:tc>
        <w:tc>
          <w:tcPr>
            <w:tcW w:type="dxa" w:w="1800"/>
            <w:shd w:fill="F4F8FB"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＋220〜550円</w:t>
            </w:r>
          </w:p>
          <w:p>
            <w:pPr>
              <w:spacing w:after="0" w:before="0" w:line="240"/>
              <w:jc w:val="center"/>
            </w:pPr>
            <w:r>
              <w:rPr>
                <w:rFonts w:ascii="ＭＳ ゴシック" w:cs="ＭＳ ゴシック" w:eastAsia="ＭＳ ゴシック" w:hAnsi="ＭＳ ゴシック"/>
                <w:b w:val="false"/>
                <w:bCs w:val="false"/>
                <w:color w:val="000000"/>
                <w:sz w:val="16"/>
                <w:szCs w:val="16"/>
              </w:rPr>
              <w:t xml:space="preserve">（＋8.9〜22.2％）</w:t>
            </w:r>
          </w:p>
        </w:tc>
      </w:tr>
      <w:tr>
        <w:tc>
          <w:tcPr>
            <w:tcW w:type="dxa" w:w="2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Ｂ案（赤字半減・段階）</w:t>
            </w:r>
          </w:p>
        </w:tc>
        <w:tc>
          <w:tcPr>
            <w:tcW w:type="dxa" w:w="40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基本1,200〜1,300円＋従量132円/㎥＋メーター55円</w:t>
            </w:r>
          </w:p>
        </w:tc>
        <w:tc>
          <w:tcPr>
            <w:tcW w:type="dxa" w:w="1700"/>
            <w:shd w:fill="FFFFFF"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val="false"/>
                <w:bCs w:val="false"/>
                <w:color w:val="000000"/>
                <w:sz w:val="16"/>
                <w:szCs w:val="16"/>
              </w:rPr>
              <w:t xml:space="preserve">2,575〜2,675</w:t>
            </w:r>
          </w:p>
        </w:tc>
        <w:tc>
          <w:tcPr>
            <w:tcW w:type="dxa" w:w="18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＋100〜200円</w:t>
            </w:r>
          </w:p>
          <w:p>
            <w:pPr>
              <w:spacing w:after="0" w:before="0" w:line="240"/>
              <w:jc w:val="center"/>
            </w:pPr>
            <w:r>
              <w:rPr>
                <w:rFonts w:ascii="ＭＳ ゴシック" w:cs="ＭＳ ゴシック" w:eastAsia="ＭＳ ゴシック" w:hAnsi="ＭＳ ゴシック"/>
                <w:b w:val="false"/>
                <w:bCs w:val="false"/>
                <w:color w:val="000000"/>
                <w:sz w:val="16"/>
                <w:szCs w:val="16"/>
              </w:rPr>
              <w:t xml:space="preserve">（＋4.0〜8.1％）</w:t>
            </w:r>
          </w:p>
        </w:tc>
      </w:tr>
      <w:tr>
        <w:tc>
          <w:tcPr>
            <w:tcW w:type="dxa" w:w="21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6"/>
                <w:szCs w:val="16"/>
              </w:rPr>
              <w:t xml:space="preserve">Ｃ案（口径別3-A）</w:t>
            </w:r>
          </w:p>
        </w:tc>
        <w:tc>
          <w:tcPr>
            <w:tcW w:type="dxa" w:w="40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13mm基本1,100円（10㎥込み）＋従量132円/㎥</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（メーター使用料は基本料金に統合）</w:t>
            </w:r>
          </w:p>
        </w:tc>
        <w:tc>
          <w:tcPr>
            <w:tcW w:type="dxa" w:w="1700"/>
            <w:shd w:fill="FFF2CC" w:color="auto" w:val="clear"/>
            <w:tcMar>
              <w:top w:type="dxa" w:w="60"/>
              <w:left w:type="dxa" w:w="90"/>
              <w:bottom w:type="dxa" w:w="60"/>
              <w:right w:type="dxa" w:w="90"/>
            </w:tcMar>
            <w:vAlign w:val="center"/>
          </w:tcPr>
          <w:p>
            <w:pPr>
              <w:spacing w:after="0" w:before="0" w:line="240"/>
              <w:jc w:val="right"/>
            </w:pPr>
            <w:r>
              <w:rPr>
                <w:rFonts w:ascii="ＭＳ ゴシック" w:cs="ＭＳ ゴシック" w:eastAsia="ＭＳ ゴシック" w:hAnsi="ＭＳ ゴシック"/>
                <w:b/>
                <w:bCs/>
                <w:color w:val="000000"/>
                <w:sz w:val="16"/>
                <w:szCs w:val="16"/>
              </w:rPr>
              <w:t xml:space="preserve">2,420</w:t>
            </w:r>
          </w:p>
        </w:tc>
        <w:tc>
          <w:tcPr>
            <w:tcW w:type="dxa" w:w="1800"/>
            <w:shd w:fill="FFF2CC"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000000"/>
                <w:sz w:val="16"/>
                <w:szCs w:val="16"/>
              </w:rPr>
              <w:t xml:space="preserve">△55円</w:t>
            </w:r>
          </w:p>
          <w:p>
            <w:pPr>
              <w:spacing w:after="0" w:before="0" w:line="240"/>
              <w:jc w:val="center"/>
            </w:pPr>
            <w:r>
              <w:rPr>
                <w:rFonts w:ascii="ＭＳ ゴシック" w:cs="ＭＳ ゴシック" w:eastAsia="ＭＳ ゴシック" w:hAnsi="ＭＳ ゴシック"/>
                <w:b/>
                <w:bCs/>
                <w:color w:val="000000"/>
                <w:sz w:val="16"/>
                <w:szCs w:val="16"/>
              </w:rPr>
              <w:t xml:space="preserve">（△2.2％）</w:t>
            </w:r>
          </w:p>
        </w:tc>
      </w:tr>
    </w:tbl>
    <w:p>
      <w:pPr>
        <w:spacing w:after="120"/>
      </w:pPr>
    </w:p>
    <w:p>
      <w:pPr>
        <w:spacing w:after="60" w:before="40" w:line="260"/>
        <w:ind w:left="200"/>
      </w:pPr>
      <w:r>
        <w:rPr>
          <w:rFonts w:ascii="ＭＳ 明朝" w:cs="ＭＳ 明朝" w:eastAsia="ＭＳ 明朝" w:hAnsi="ＭＳ 明朝"/>
          <w:color w:val="404040"/>
          <w:sz w:val="18"/>
          <w:szCs w:val="18"/>
        </w:rPr>
        <w:t xml:space="preserve">※ 08シートの「現行2,395円」は根拠不明です。調定データの13mm・20㎥の実績額と一致するのは2,475円です。同シートのＢ15「3,020〜3,245円」等は、この現行額の誤りに引きずられた値です。</w:t>
      </w:r>
    </w:p>
    <w:p>
      <w:pPr>
        <w:pStyle w:val="Heading2"/>
        <w:spacing w:after="140" w:before="320"/>
      </w:pPr>
      <w:r>
        <w:rPr>
          <w:rFonts w:ascii="ＭＳ ゴシック" w:cs="ＭＳ ゴシック" w:eastAsia="ＭＳ ゴシック" w:hAnsi="ＭＳ ゴシック"/>
          <w:b/>
          <w:bCs/>
          <w:color w:val="2E75B6"/>
          <w:sz w:val="23"/>
          <w:szCs w:val="23"/>
        </w:rPr>
        <w:t xml:space="preserve">８－３　改定の必要水準（二段構えの説明）</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2100"/>
        <w:gridCol w:w="3000"/>
        <w:gridCol w:w="2000"/>
        <w:gridCol w:w="2500"/>
      </w:tblGrid>
      <w:tr>
        <w:trPr>
          <w:tblHeader/>
        </w:trPr>
        <w:tc>
          <w:tcPr>
            <w:tcW w:type="dxa" w:w="21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区　分</w:t>
            </w:r>
          </w:p>
        </w:tc>
        <w:tc>
          <w:tcPr>
            <w:tcW w:type="dxa" w:w="30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算定の考え方</w:t>
            </w:r>
          </w:p>
        </w:tc>
        <w:tc>
          <w:tcPr>
            <w:tcW w:type="dxa" w:w="2000"/>
            <w:shd w:fill="2E75B6"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FFFFFF"/>
                <w:sz w:val="16"/>
                <w:szCs w:val="16"/>
              </w:rPr>
              <w:t xml:space="preserve">必要改定率</w:t>
            </w:r>
          </w:p>
        </w:tc>
        <w:tc>
          <w:tcPr>
            <w:tcW w:type="dxa" w:w="25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説明での位置づけ</w:t>
            </w:r>
          </w:p>
        </w:tc>
      </w:tr>
      <w:tr>
        <w:tc>
          <w:tcPr>
            <w:tcW w:type="dxa" w:w="2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当面の目標</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（キャッシュ不足額の解消）</w:t>
            </w:r>
          </w:p>
        </w:tc>
        <w:tc>
          <w:tcPr>
            <w:tcW w:type="dxa" w:w="30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料金収入 －（維持管理費＋支払利息＋資産維持費）</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令和９〜13年度の年平均</w:t>
            </w:r>
          </w:p>
        </w:tc>
        <w:tc>
          <w:tcPr>
            <w:tcW w:type="dxa" w:w="20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赤字半減　＋39.7〜66.5％</w:t>
            </w:r>
          </w:p>
          <w:p>
            <w:pPr>
              <w:spacing w:after="0" w:before="0" w:line="240"/>
              <w:jc w:val="center"/>
            </w:pPr>
            <w:r>
              <w:rPr>
                <w:rFonts w:ascii="ＭＳ ゴシック" w:cs="ＭＳ ゴシック" w:eastAsia="ＭＳ ゴシック" w:hAnsi="ＭＳ ゴシック"/>
                <w:b w:val="false"/>
                <w:bCs w:val="false"/>
                <w:color w:val="000000"/>
                <w:sz w:val="16"/>
                <w:szCs w:val="16"/>
              </w:rPr>
              <w:t xml:space="preserve">完全解消　＋79.4〜133.0％</w:t>
            </w:r>
          </w:p>
        </w:tc>
        <w:tc>
          <w:tcPr>
            <w:tcW w:type="dxa" w:w="2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実際に現金が不足している額であり、料金で埋めるべき最小限。段階改定の目標として提示する</w:t>
            </w:r>
          </w:p>
        </w:tc>
      </w:tr>
      <w:tr>
        <w:tc>
          <w:tcPr>
            <w:tcW w:type="dxa" w:w="21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中長期に必要な財源</w:t>
            </w:r>
          </w:p>
          <w:p>
            <w:pPr>
              <w:spacing w:after="0" w:before="0" w:line="240"/>
              <w:jc w:val="left"/>
            </w:pPr>
            <w:r>
              <w:rPr>
                <w:rFonts w:ascii="ＭＳ ゴシック" w:cs="ＭＳ ゴシック" w:eastAsia="ＭＳ ゴシック" w:hAnsi="ＭＳ ゴシック"/>
                <w:b w:val="false"/>
                <w:bCs w:val="false"/>
                <w:color w:val="000000"/>
                <w:sz w:val="16"/>
                <w:szCs w:val="16"/>
              </w:rPr>
              <w:t xml:space="preserve">（総括原価ベース）</w:t>
            </w:r>
          </w:p>
        </w:tc>
        <w:tc>
          <w:tcPr>
            <w:tcW w:type="dxa" w:w="30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維持管理費＋減価償却費＋支払利息＋資産維持費－長期前受金戻入益－他会計補助金等</w:t>
            </w:r>
          </w:p>
        </w:tc>
        <w:tc>
          <w:tcPr>
            <w:tcW w:type="dxa" w:w="2000"/>
            <w:shd w:fill="F4F8FB"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＋184.4〜241.4％</w:t>
            </w:r>
          </w:p>
        </w:tc>
        <w:tc>
          <w:tcPr>
            <w:tcW w:type="dxa" w:w="2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施設更新財源を含めて料金で賄う場合に必要な水準。「将来必要となる財源の総量」として示し、一度に到達することは求めない</w:t>
            </w:r>
          </w:p>
        </w:tc>
      </w:tr>
      <w:tr>
        <w:tc>
          <w:tcPr>
            <w:tcW w:type="dxa" w:w="21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6"/>
                <w:szCs w:val="16"/>
              </w:rPr>
              <w:t xml:space="preserve">推奨する構成</w:t>
            </w:r>
          </w:p>
        </w:tc>
        <w:tc>
          <w:tcPr>
            <w:tcW w:type="dxa" w:w="30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当面の目標を第１次改定、総括原価ベースを中長期の到達目標とする２段階</w:t>
            </w:r>
          </w:p>
        </w:tc>
        <w:tc>
          <w:tcPr>
            <w:tcW w:type="dxa" w:w="2000"/>
            <w:shd w:fill="FFF2CC"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000000"/>
                <w:sz w:val="16"/>
                <w:szCs w:val="16"/>
              </w:rPr>
              <w:t xml:space="preserve">第１次改定 ＋40〜67％</w:t>
            </w:r>
          </w:p>
        </w:tc>
        <w:tc>
          <w:tcPr>
            <w:tcW w:type="dxa" w:w="25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総括原価ベースを前面に出すと、提示できる改定案がすべて「充足率10％未満」となり報告として成立しない</w:t>
            </w:r>
          </w:p>
        </w:tc>
      </w:tr>
    </w:tbl>
    <w:p>
      <w:pPr>
        <w:spacing w:after="120"/>
      </w:pPr>
    </w:p>
    <w:p>
      <w:pPr>
        <w:spacing w:after="60" w:before="40" w:line="260"/>
        <w:ind w:left="200"/>
      </w:pPr>
      <w:r>
        <w:rPr>
          <w:rFonts w:ascii="ＭＳ 明朝" w:cs="ＭＳ 明朝" w:eastAsia="ＭＳ 明朝" w:hAnsi="ＭＳ 明朝"/>
          <w:color w:val="404040"/>
          <w:sz w:val="18"/>
          <w:szCs w:val="18"/>
        </w:rPr>
        <w:t xml:space="preserve">※ 改定率の幅は資産維持率1.0〜3.0％の違いによるものです。最終決定をお願いします。</w:t>
      </w:r>
    </w:p>
    <w:p>
      <w:pPr>
        <w:spacing w:after="60" w:before="40" w:line="260"/>
        <w:ind w:left="200"/>
      </w:pPr>
      <w:r>
        <w:rPr>
          <w:rFonts w:ascii="ＭＳ 明朝" w:cs="ＭＳ 明朝" w:eastAsia="ＭＳ 明朝" w:hAnsi="ＭＳ 明朝"/>
          <w:color w:val="404040"/>
          <w:sz w:val="18"/>
          <w:szCs w:val="18"/>
        </w:rPr>
        <w:t xml:space="preserve">※ 対象資産は料金算定対象期間（令和９〜13年度）の期首期末平均3,117,326千円としています（日本水道協会「水道料金算定要領」）。</w:t>
      </w:r>
    </w:p>
    <w:p>
      <w:r>
        <w:br w:type="page"/>
      </w:r>
    </w:p>
    <w:p>
      <w:pPr>
        <w:pStyle w:val="Heading1"/>
        <w:pBdr>
          <w:bottom w:val="single" w:color="1F3864" w:sz="12" w:space="4"/>
        </w:pBdr>
        <w:spacing w:after="220" w:before="480"/>
      </w:pPr>
      <w:r>
        <w:rPr>
          <w:rFonts w:ascii="ＭＳ ゴシック" w:cs="ＭＳ ゴシック" w:eastAsia="ＭＳ ゴシック" w:hAnsi="ＭＳ ゴシック"/>
          <w:b/>
          <w:bCs/>
          <w:color w:val="1F3864"/>
          <w:sz w:val="28"/>
          <w:szCs w:val="28"/>
        </w:rPr>
        <w:t xml:space="preserve">第９章　本分析の前提と限界</w:t>
      </w:r>
    </w:p>
    <w:p>
      <w:pPr>
        <w:spacing w:after="120" w:before="0" w:line="300"/>
        <w:jc w:val="both"/>
      </w:pPr>
      <w:r>
        <w:rPr>
          <w:rFonts w:ascii="ＭＳ 明朝" w:cs="ＭＳ 明朝" w:eastAsia="ＭＳ 明朝" w:hAnsi="ＭＳ 明朝"/>
          <w:b w:val="false"/>
          <w:bCs w:val="false"/>
          <w:color w:val="000000"/>
          <w:sz w:val="21"/>
          <w:szCs w:val="21"/>
        </w:rPr>
        <w:t xml:space="preserve">　本報告書には、決算書・意見書の記載どおりの確定値と、当方が推計・推定した値が混在しています。住民・議会説明に用いる前に、以下の区別をご確認ください。</w:t>
      </w:r>
    </w:p>
    <w:p>
      <w:pPr>
        <w:pStyle w:val="Heading2"/>
        <w:spacing w:after="140" w:before="320"/>
      </w:pPr>
      <w:r>
        <w:rPr>
          <w:rFonts w:ascii="ＭＳ ゴシック" w:cs="ＭＳ ゴシック" w:eastAsia="ＭＳ ゴシック" w:hAnsi="ＭＳ ゴシック"/>
          <w:b/>
          <w:bCs/>
          <w:color w:val="2E75B6"/>
          <w:sz w:val="23"/>
          <w:szCs w:val="23"/>
        </w:rPr>
        <w:t xml:space="preserve">９－１　確定値と推計値の区別</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900"/>
        <w:gridCol w:w="3200"/>
        <w:gridCol w:w="5500"/>
      </w:tblGrid>
      <w:tr>
        <w:trPr>
          <w:tblHeader/>
        </w:trPr>
        <w:tc>
          <w:tcPr>
            <w:tcW w:type="dxa" w:w="900"/>
            <w:shd w:fill="2E75B6"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FFFFFF"/>
                <w:sz w:val="16"/>
                <w:szCs w:val="16"/>
              </w:rPr>
              <w:t xml:space="preserve">区分</w:t>
            </w:r>
          </w:p>
        </w:tc>
        <w:tc>
          <w:tcPr>
            <w:tcW w:type="dxa" w:w="32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項　目</w:t>
            </w:r>
          </w:p>
        </w:tc>
        <w:tc>
          <w:tcPr>
            <w:tcW w:type="dxa" w:w="55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根　拠・確からしさ</w:t>
            </w:r>
          </w:p>
        </w:tc>
      </w:tr>
      <w:tr>
        <w:tc>
          <w:tcPr>
            <w:tcW w:type="dxa" w:w="9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確定</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過年度修正の修正前・修正後の額（上水道11項目・下水道３項目）</w:t>
            </w:r>
          </w:p>
        </w:tc>
        <w:tc>
          <w:tcPr>
            <w:tcW w:type="dxa" w:w="5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C00000"/>
                <w:sz w:val="16"/>
                <w:szCs w:val="16"/>
              </w:rPr>
              <w:t xml:space="preserve">決算審査意見書の記載どおり。ただし意見書は「案・初稿」であり、確定版で額が変わりうるため最終報告時に再突合が必要</w:t>
            </w:r>
          </w:p>
        </w:tc>
      </w:tr>
      <w:tr>
        <w:tc>
          <w:tcPr>
            <w:tcW w:type="dxa" w:w="900"/>
            <w:shd w:fill="F4F8FB"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確定</w:t>
            </w:r>
          </w:p>
        </w:tc>
        <w:tc>
          <w:tcPr>
            <w:tcW w:type="dxa" w:w="32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令和６年度末の資本金・資本剰余金・未処理欠損金</w:t>
            </w:r>
          </w:p>
        </w:tc>
        <w:tc>
          <w:tcPr>
            <w:tcW w:type="dxa" w:w="5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令和７年度剰余金計算書の「前年度末残高」。検証不要</w:t>
            </w:r>
          </w:p>
        </w:tc>
      </w:tr>
      <w:tr>
        <w:tc>
          <w:tcPr>
            <w:tcW w:type="dxa" w:w="9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確定</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令和６年度末の償却資産の帳簿原価・減価償却累計額</w:t>
            </w:r>
          </w:p>
        </w:tc>
        <w:tc>
          <w:tcPr>
            <w:tcW w:type="dxa" w:w="55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令和７年度有形固定資産明細書の「年度当初の現在高」＋意見書の修正額。修正前の累計額から算定した償却率19.43％が決算書掲載値と一致することで裏づけ</w:t>
            </w:r>
          </w:p>
        </w:tc>
      </w:tr>
      <w:tr>
        <w:tc>
          <w:tcPr>
            <w:tcW w:type="dxa" w:w="900"/>
            <w:shd w:fill="F4F8FB"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確定</w:t>
            </w:r>
          </w:p>
        </w:tc>
        <w:tc>
          <w:tcPr>
            <w:tcW w:type="dxa" w:w="32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過年度修正の純影響額 1,558,605,676円</w:t>
            </w:r>
          </w:p>
        </w:tc>
        <w:tc>
          <w:tcPr>
            <w:tcW w:type="dxa" w:w="55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貸借対照表等式による算定。令和７年度の特別損益と差異０円で一致。二重に検証済み</w:t>
            </w:r>
          </w:p>
        </w:tc>
      </w:tr>
      <w:tr>
        <w:tc>
          <w:tcPr>
            <w:tcW w:type="dxa" w:w="900"/>
            <w:shd w:fill="FFF2CC"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000000"/>
                <w:sz w:val="16"/>
                <w:szCs w:val="16"/>
              </w:rPr>
              <w:t xml:space="preserve">推計</w:t>
            </w:r>
          </w:p>
        </w:tc>
        <w:tc>
          <w:tcPr>
            <w:tcW w:type="dxa" w:w="32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令和６年度末の流動資産 417,612千円</w:t>
            </w:r>
          </w:p>
        </w:tc>
        <w:tc>
          <w:tcPr>
            <w:tcW w:type="dxa" w:w="55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意見書の記載が千円単位のため、円単位の精度はない。この値から算定した自己資本構成比率が決算書掲載値90.07％を再現することで妥当性を確認</w:t>
            </w:r>
          </w:p>
        </w:tc>
      </w:tr>
      <w:tr>
        <w:tc>
          <w:tcPr>
            <w:tcW w:type="dxa" w:w="900"/>
            <w:shd w:fill="FFF2CC"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000000"/>
                <w:sz w:val="16"/>
                <w:szCs w:val="16"/>
              </w:rPr>
              <w:t xml:space="preserve">推計</w:t>
            </w:r>
          </w:p>
        </w:tc>
        <w:tc>
          <w:tcPr>
            <w:tcW w:type="dxa" w:w="32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令和６年度末の流動負債 218,851千円</w:t>
            </w:r>
          </w:p>
        </w:tc>
        <w:tc>
          <w:tcPr>
            <w:tcW w:type="dxa" w:w="55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流動資産の推計値を決算書掲載の流動比率190.82％で除して逆算。修正後の流動比率111.52％も同じ誤差を引き継ぐ</w:t>
            </w:r>
          </w:p>
        </w:tc>
      </w:tr>
      <w:tr>
        <w:tc>
          <w:tcPr>
            <w:tcW w:type="dxa" w:w="900"/>
            <w:shd w:fill="FFF2CC"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000000"/>
                <w:sz w:val="16"/>
                <w:szCs w:val="16"/>
              </w:rPr>
              <w:t xml:space="preserve">推計</w:t>
            </w:r>
          </w:p>
        </w:tc>
        <w:tc>
          <w:tcPr>
            <w:tcW w:type="dxa" w:w="32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令和６年度の営業収益 118,811千円（累積欠損金比率の分母）</w:t>
            </w:r>
          </w:p>
        </w:tc>
        <w:tc>
          <w:tcPr>
            <w:tcW w:type="dxa" w:w="55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令和６年度のその他営業収益は未確認（令和７年度の額を流用）。累積欠損金比率の値には幅がある</w:t>
            </w:r>
          </w:p>
        </w:tc>
      </w:tr>
      <w:tr>
        <w:tc>
          <w:tcPr>
            <w:tcW w:type="dxa" w:w="900"/>
            <w:shd w:fill="FFF2CC"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000000"/>
                <w:sz w:val="16"/>
                <w:szCs w:val="16"/>
              </w:rPr>
              <w:t xml:space="preserve">推定</w:t>
            </w:r>
          </w:p>
        </w:tc>
        <w:tc>
          <w:tcPr>
            <w:tcW w:type="dxa" w:w="32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令和７年度掲載値22.07％の算定根拠</w:t>
            </w:r>
          </w:p>
        </w:tc>
        <w:tc>
          <w:tcPr>
            <w:tcW w:type="dxa" w:w="5500"/>
            <w:shd w:fill="FFF2CC"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分子・分母の８通りの検証による。分子に過年度修正が反映されていないと考えるのが最も整合的だが、外部からの推定。算定根拠の提示を受けて確定させる必要がある</w:t>
            </w:r>
          </w:p>
        </w:tc>
      </w:tr>
    </w:tbl>
    <w:p>
      <w:pPr>
        <w:pStyle w:val="Heading2"/>
        <w:spacing w:after="140" w:before="320"/>
      </w:pPr>
      <w:r>
        <w:rPr>
          <w:rFonts w:ascii="ＭＳ ゴシック" w:cs="ＭＳ ゴシック" w:eastAsia="ＭＳ ゴシック" w:hAnsi="ＭＳ ゴシック"/>
          <w:b/>
          <w:bCs/>
          <w:color w:val="2E75B6"/>
          <w:sz w:val="23"/>
          <w:szCs w:val="23"/>
        </w:rPr>
        <w:t xml:space="preserve">９－２　料金改定試算の前提と限界</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700"/>
        <w:gridCol w:w="3300"/>
        <w:gridCol w:w="3000"/>
        <w:gridCol w:w="2600"/>
      </w:tblGrid>
      <w:tr>
        <w:trPr>
          <w:tblHeader/>
        </w:trPr>
        <w:tc>
          <w:tcPr>
            <w:tcW w:type="dxa" w:w="700"/>
            <w:shd w:fill="2E75B6"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FFFFFF"/>
                <w:sz w:val="16"/>
                <w:szCs w:val="16"/>
              </w:rPr>
              <w:t xml:space="preserve">No.</w:t>
            </w:r>
          </w:p>
        </w:tc>
        <w:tc>
          <w:tcPr>
            <w:tcW w:type="dxa" w:w="33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前提・限界</w:t>
            </w:r>
          </w:p>
        </w:tc>
        <w:tc>
          <w:tcPr>
            <w:tcW w:type="dxa" w:w="30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影　響</w:t>
            </w:r>
          </w:p>
        </w:tc>
        <w:tc>
          <w:tcPr>
            <w:tcW w:type="dxa" w:w="26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対　応</w:t>
            </w:r>
          </w:p>
        </w:tc>
      </w:tr>
      <w:tr>
        <w:tc>
          <w:tcPr>
            <w:tcW w:type="dxa" w:w="7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000000"/>
                <w:sz w:val="16"/>
                <w:szCs w:val="16"/>
              </w:rPr>
              <w:t xml:space="preserve">1</w:t>
            </w:r>
          </w:p>
        </w:tc>
        <w:tc>
          <w:tcPr>
            <w:tcW w:type="dxa" w:w="33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案3-Aでメーター使用料を廃止（基本料金に統合）するか、別建てで据え置くかが05シートから判別できない</w:t>
            </w:r>
          </w:p>
        </w:tc>
        <w:tc>
          <w:tcPr>
            <w:tcW w:type="dxa" w:w="30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統合なら＋11.54％（年13,793千円）、据置なら＋14.14％（年16,892千円）。約3,100千円の差</w:t>
            </w:r>
          </w:p>
        </w:tc>
        <w:tc>
          <w:tcPr>
            <w:tcW w:type="dxa" w:w="26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設計意図の確認をお願いします。本報告書は「統合」を前提として算定</w:t>
            </w:r>
          </w:p>
        </w:tc>
      </w:tr>
      <w:tr>
        <w:tc>
          <w:tcPr>
            <w:tcW w:type="dxa" w:w="700"/>
            <w:shd w:fill="F4F8FB"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000000"/>
                <w:sz w:val="16"/>
                <w:szCs w:val="16"/>
              </w:rPr>
              <w:t xml:space="preserve">2</w:t>
            </w:r>
          </w:p>
        </w:tc>
        <w:tc>
          <w:tcPr>
            <w:tcW w:type="dxa" w:w="33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調定データは令和７年度の１か月分。有収水量77,174㎥は年間実績の月平均85,381㎥を9.6％下回る</w:t>
            </w:r>
          </w:p>
        </w:tc>
        <w:tc>
          <w:tcPr>
            <w:tcW w:type="dxa" w:w="30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大口は増収率が低い（＋11.6〜13.5％）ため、大口の使用が多い月を含めた年間ベースでは増収率が11.54％を下回る可能性がある</w:t>
            </w:r>
          </w:p>
        </w:tc>
        <w:tc>
          <w:tcPr>
            <w:tcW w:type="dxa" w:w="26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12か月分の調定データがあれば精緻化できます。中間報告では「推計値」と明記して使用</w:t>
            </w:r>
          </w:p>
        </w:tc>
      </w:tr>
      <w:tr>
        <w:tc>
          <w:tcPr>
            <w:tcW w:type="dxa" w:w="7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3</w:t>
            </w:r>
          </w:p>
        </w:tc>
        <w:tc>
          <w:tcPr>
            <w:tcW w:type="dxa" w:w="33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年間増収額は「増収率×令和７年度給水収益」で算定している</w:t>
            </w:r>
          </w:p>
        </w:tc>
        <w:tc>
          <w:tcPr>
            <w:tcW w:type="dxa" w:w="30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月次実額×12で算定すると13,949千円となり、156千円の差</w:t>
            </w:r>
          </w:p>
        </w:tc>
        <w:tc>
          <w:tcPr>
            <w:tcW w:type="dxa" w:w="26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決算確定値に接続する前者を採用。両方を併記</w:t>
            </w:r>
          </w:p>
        </w:tc>
      </w:tr>
      <w:tr>
        <w:tc>
          <w:tcPr>
            <w:tcW w:type="dxa" w:w="700"/>
            <w:shd w:fill="F4F8FB"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4</w:t>
            </w:r>
          </w:p>
        </w:tc>
        <w:tc>
          <w:tcPr>
            <w:tcW w:type="dxa" w:w="33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水産加工業19社の月間使用水量は推計値</w:t>
            </w:r>
          </w:p>
        </w:tc>
        <w:tc>
          <w:tcPr>
            <w:tcW w:type="dxa" w:w="30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モデルケース別の増減率が実態と乖離する可能性</w:t>
            </w:r>
          </w:p>
        </w:tc>
        <w:tc>
          <w:tcPr>
            <w:tcW w:type="dxa" w:w="26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実使用水量データの提供をお願いします</w:t>
            </w:r>
          </w:p>
        </w:tc>
      </w:tr>
      <w:tr>
        <w:tc>
          <w:tcPr>
            <w:tcW w:type="dxa" w:w="7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5</w:t>
            </w:r>
          </w:p>
        </w:tc>
        <w:tc>
          <w:tcPr>
            <w:tcW w:type="dxa" w:w="33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必要改定率は既報の算定値</w:t>
            </w:r>
          </w:p>
        </w:tc>
        <w:tc>
          <w:tcPr>
            <w:tcW w:type="dxa" w:w="30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本報告書では再検証していない</w:t>
            </w:r>
          </w:p>
        </w:tc>
        <w:tc>
          <w:tcPr>
            <w:tcW w:type="dxa" w:w="26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「女川町_水道_数値定義と確定値一覧.xlsx」を参照</w:t>
            </w:r>
          </w:p>
        </w:tc>
      </w:tr>
    </w:tbl>
    <w:p>
      <w:pPr>
        <w:pStyle w:val="Heading2"/>
        <w:spacing w:after="140" w:before="320"/>
      </w:pPr>
      <w:r>
        <w:rPr>
          <w:rFonts w:ascii="ＭＳ ゴシック" w:cs="ＭＳ ゴシック" w:eastAsia="ＭＳ ゴシック" w:hAnsi="ＭＳ ゴシック"/>
          <w:b/>
          <w:bCs/>
          <w:color w:val="2E75B6"/>
          <w:sz w:val="23"/>
          <w:szCs w:val="23"/>
        </w:rPr>
        <w:t xml:space="preserve">９－３　本報告書で対応できていない範囲</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3400"/>
        <w:gridCol w:w="3200"/>
        <w:gridCol w:w="3000"/>
      </w:tblGrid>
      <w:tr>
        <w:trPr>
          <w:tblHeader/>
        </w:trPr>
        <w:tc>
          <w:tcPr>
            <w:tcW w:type="dxa" w:w="34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項　目</w:t>
            </w:r>
          </w:p>
        </w:tc>
        <w:tc>
          <w:tcPr>
            <w:tcW w:type="dxa" w:w="32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理　由</w:t>
            </w:r>
          </w:p>
        </w:tc>
        <w:tc>
          <w:tcPr>
            <w:tcW w:type="dxa" w:w="30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必要な資料・作業</w:t>
            </w:r>
          </w:p>
        </w:tc>
      </w:tr>
      <w:tr>
        <w:tc>
          <w:tcPr>
            <w:tcW w:type="dxa" w:w="34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下水道事業の指標対比（有収率・経常収支比率・処理原価・使用料単価等）</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令和６年度の下水道事業貸借対照表・損益計算書の明細を突合できていない</w:t>
            </w:r>
          </w:p>
        </w:tc>
        <w:tc>
          <w:tcPr>
            <w:tcW w:type="dxa" w:w="30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令和６年度下水道事業会計決算書。未処理欠損金の対比のみ第３章５節に掲載</w:t>
            </w:r>
          </w:p>
        </w:tc>
      </w:tr>
      <w:tr>
        <w:tc>
          <w:tcPr>
            <w:tcW w:type="dxa" w:w="34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浄化槽事業（特定地域生活排水処理事業）の指標対比</w:t>
            </w:r>
          </w:p>
        </w:tc>
        <w:tc>
          <w:tcPr>
            <w:tcW w:type="dxa" w:w="32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企業会計移行前のため、修正前後の対比という枠組みが適用できない</w:t>
            </w:r>
          </w:p>
        </w:tc>
        <w:tc>
          <w:tcPr>
            <w:tcW w:type="dxa" w:w="30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企業会計移行後の開始貸借対照表。仕様書６(４)の作業と一体で実施</w:t>
            </w:r>
          </w:p>
        </w:tc>
      </w:tr>
      <w:tr>
        <w:tc>
          <w:tcPr>
            <w:tcW w:type="dxa" w:w="34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決算状況調査に報告した値との突合</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提出済みの調査票を入手できていない</w:t>
            </w:r>
          </w:p>
        </w:tc>
        <w:tc>
          <w:tcPr>
            <w:tcW w:type="dxa" w:w="30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令和７年度決算状況調査の提出データ</w:t>
            </w:r>
          </w:p>
        </w:tc>
      </w:tr>
    </w:tbl>
    <w:p>
      <w:r>
        <w:br w:type="page"/>
      </w:r>
    </w:p>
    <w:p>
      <w:pPr>
        <w:pStyle w:val="Heading1"/>
        <w:pBdr>
          <w:bottom w:val="single" w:color="1F3864" w:sz="12" w:space="4"/>
        </w:pBdr>
        <w:spacing w:after="220" w:before="480"/>
      </w:pPr>
      <w:r>
        <w:rPr>
          <w:rFonts w:ascii="ＭＳ ゴシック" w:cs="ＭＳ ゴシック" w:eastAsia="ＭＳ ゴシック" w:hAnsi="ＭＳ ゴシック"/>
          <w:b/>
          <w:bCs/>
          <w:color w:val="1F3864"/>
          <w:sz w:val="28"/>
          <w:szCs w:val="28"/>
        </w:rPr>
        <w:t xml:space="preserve">第10章　確認・決定をお願いしたい事項</w:t>
      </w:r>
    </w:p>
    <w:p>
      <w:pPr>
        <w:spacing w:after="120" w:before="0" w:line="300"/>
        <w:jc w:val="both"/>
      </w:pPr>
      <w:r>
        <w:rPr>
          <w:rFonts w:ascii="ＭＳ 明朝" w:cs="ＭＳ 明朝" w:eastAsia="ＭＳ 明朝" w:hAnsi="ＭＳ 明朝"/>
          <w:b w:val="false"/>
          <w:bCs w:val="false"/>
          <w:color w:val="000000"/>
          <w:sz w:val="21"/>
          <w:szCs w:val="21"/>
        </w:rPr>
        <w:t xml:space="preserve">　中間報告（令和８年９月末）に向けて、以下の事項について確認・決定をお願いします。No.7〜9は本報告書で新たに提起するものです。</w:t>
      </w:r>
    </w:p>
    <w:tbl>
      <w:tblPr>
        <w:tblW w:type="dxa" w:w="9600"/>
        <w:tblBorders>
          <w:top w:val="single" w:color="AFC4DB" w:sz="4"/>
          <w:left w:val="single" w:color="AFC4DB" w:sz="4"/>
          <w:bottom w:val="single" w:color="AFC4DB" w:sz="4"/>
          <w:right w:val="single" w:color="AFC4DB" w:sz="4"/>
          <w:insideH w:val="single" w:color="AFC4DB" w:sz="4"/>
          <w:insideV w:val="single" w:color="AFC4DB" w:sz="4"/>
        </w:tblBorders>
      </w:tblPr>
      <w:tblGrid>
        <w:gridCol w:w="700"/>
        <w:gridCol w:w="3000"/>
        <w:gridCol w:w="4100"/>
        <w:gridCol w:w="1800"/>
      </w:tblGrid>
      <w:tr>
        <w:trPr>
          <w:tblHeader/>
        </w:trPr>
        <w:tc>
          <w:tcPr>
            <w:tcW w:type="dxa" w:w="700"/>
            <w:shd w:fill="2E75B6"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FFFFFF"/>
                <w:sz w:val="16"/>
                <w:szCs w:val="16"/>
              </w:rPr>
              <w:t xml:space="preserve">No.</w:t>
            </w:r>
          </w:p>
        </w:tc>
        <w:tc>
          <w:tcPr>
            <w:tcW w:type="dxa" w:w="30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事　項</w:t>
            </w:r>
          </w:p>
        </w:tc>
        <w:tc>
          <w:tcPr>
            <w:tcW w:type="dxa" w:w="4100"/>
            <w:shd w:fill="2E75B6"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FFFFFF"/>
                <w:sz w:val="16"/>
                <w:szCs w:val="16"/>
              </w:rPr>
              <w:t xml:space="preserve">なぜ必要か</w:t>
            </w:r>
          </w:p>
        </w:tc>
        <w:tc>
          <w:tcPr>
            <w:tcW w:type="dxa" w:w="1800"/>
            <w:shd w:fill="2E75B6"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FFFFFF"/>
                <w:sz w:val="16"/>
                <w:szCs w:val="16"/>
              </w:rPr>
              <w:t xml:space="preserve">状　況</w:t>
            </w:r>
          </w:p>
        </w:tc>
      </w:tr>
      <w:tr>
        <w:tc>
          <w:tcPr>
            <w:tcW w:type="dxa" w:w="7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1</w:t>
            </w:r>
          </w:p>
        </w:tc>
        <w:tc>
          <w:tcPr>
            <w:tcW w:type="dxa" w:w="30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「3パターン」「資産維持費3％」の根拠</w:t>
            </w:r>
          </w:p>
        </w:tc>
        <w:tc>
          <w:tcPr>
            <w:tcW w:type="dxa" w:w="4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いただいた仕様書に「パターン」「資産維持」の語は記載がありません。別紙・特記仕様書、または町との協議記録に根拠があるかご確認ください</w:t>
            </w:r>
          </w:p>
        </w:tc>
        <w:tc>
          <w:tcPr>
            <w:tcW w:type="dxa" w:w="18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既報・未回答</w:t>
            </w:r>
          </w:p>
        </w:tc>
      </w:tr>
      <w:tr>
        <w:tc>
          <w:tcPr>
            <w:tcW w:type="dxa" w:w="700"/>
            <w:shd w:fill="F4F8FB"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2</w:t>
            </w:r>
          </w:p>
        </w:tc>
        <w:tc>
          <w:tcPr>
            <w:tcW w:type="dxa" w:w="30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経営戦略の「様式を変更しない形で」の解釈</w:t>
            </w:r>
          </w:p>
        </w:tc>
        <w:tc>
          <w:tcPr>
            <w:tcW w:type="dxa" w:w="41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経営目標の数値化・ロードマップ追加が可能かどうかで、成果物の内容が変わります</w:t>
            </w:r>
          </w:p>
        </w:tc>
        <w:tc>
          <w:tcPr>
            <w:tcW w:type="dxa" w:w="1800"/>
            <w:shd w:fill="F4F8FB"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既報・未回答</w:t>
            </w:r>
          </w:p>
        </w:tc>
      </w:tr>
      <w:tr>
        <w:tc>
          <w:tcPr>
            <w:tcW w:type="dxa" w:w="7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3</w:t>
            </w:r>
          </w:p>
        </w:tc>
        <w:tc>
          <w:tcPr>
            <w:tcW w:type="dxa" w:w="30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中間報告の主軸を定義③（キャッシュ不足額）とすることの可否</w:t>
            </w:r>
          </w:p>
        </w:tc>
        <w:tc>
          <w:tcPr>
            <w:tcW w:type="dxa" w:w="4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総括原価ベース（＋184〜241％）を前面に出すと、提示できる改定案がすべて「充足率10％未満」になり、報告として成立しません</w:t>
            </w:r>
          </w:p>
        </w:tc>
        <w:tc>
          <w:tcPr>
            <w:tcW w:type="dxa" w:w="18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既報・未回答</w:t>
            </w:r>
          </w:p>
        </w:tc>
      </w:tr>
      <w:tr>
        <w:tc>
          <w:tcPr>
            <w:tcW w:type="dxa" w:w="700"/>
            <w:shd w:fill="F4F8FB"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4</w:t>
            </w:r>
          </w:p>
        </w:tc>
        <w:tc>
          <w:tcPr>
            <w:tcW w:type="dxa" w:w="30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資産維持率の最終決定（1.0／1.5／2.0／2.5／3.0％）</w:t>
            </w:r>
          </w:p>
        </w:tc>
        <w:tc>
          <w:tcPr>
            <w:tcW w:type="dxa" w:w="41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赤字半減の改定率が＋39.7％／＋53.1％／＋66.5％と変わります</w:t>
            </w:r>
          </w:p>
        </w:tc>
        <w:tc>
          <w:tcPr>
            <w:tcW w:type="dxa" w:w="1800"/>
            <w:shd w:fill="F4F8FB"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既報・未回答</w:t>
            </w:r>
          </w:p>
        </w:tc>
      </w:tr>
      <w:tr>
        <w:tc>
          <w:tcPr>
            <w:tcW w:type="dxa" w:w="7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5</w:t>
            </w:r>
          </w:p>
        </w:tc>
        <w:tc>
          <w:tcPr>
            <w:tcW w:type="dxa" w:w="30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水産加工業19社の実使用水量</w:t>
            </w:r>
          </w:p>
        </w:tc>
        <w:tc>
          <w:tcPr>
            <w:tcW w:type="dxa" w:w="4100"/>
            <w:shd w:fill="FFFFFF"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06シートは推計値のままです</w:t>
            </w:r>
          </w:p>
        </w:tc>
        <w:tc>
          <w:tcPr>
            <w:tcW w:type="dxa" w:w="1800"/>
            <w:shd w:fill="FFFFFF"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既報・未提供</w:t>
            </w:r>
          </w:p>
        </w:tc>
      </w:tr>
      <w:tr>
        <w:tc>
          <w:tcPr>
            <w:tcW w:type="dxa" w:w="700"/>
            <w:shd w:fill="F4F8FB"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6</w:t>
            </w:r>
          </w:p>
        </w:tc>
        <w:tc>
          <w:tcPr>
            <w:tcW w:type="dxa" w:w="30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例月出納検査・予算書案作成の実施体制</w:t>
            </w:r>
          </w:p>
        </w:tc>
        <w:tc>
          <w:tcPr>
            <w:tcW w:type="dxa" w:w="4100"/>
            <w:shd w:fill="F4F8FB"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工程表への反映が必要です。特に例月出納検査は毎月19日期限の定例業務です</w:t>
            </w:r>
          </w:p>
        </w:tc>
        <w:tc>
          <w:tcPr>
            <w:tcW w:type="dxa" w:w="1800"/>
            <w:shd w:fill="F4F8FB"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val="false"/>
                <w:bCs w:val="false"/>
                <w:color w:val="000000"/>
                <w:sz w:val="16"/>
                <w:szCs w:val="16"/>
              </w:rPr>
              <w:t xml:space="preserve">既報・未回答</w:t>
            </w:r>
          </w:p>
        </w:tc>
      </w:tr>
      <w:tr>
        <w:tc>
          <w:tcPr>
            <w:tcW w:type="dxa" w:w="700"/>
            <w:shd w:fill="FCE4E4"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000000"/>
                <w:sz w:val="16"/>
                <w:szCs w:val="16"/>
              </w:rPr>
              <w:t xml:space="preserve">7</w:t>
            </w:r>
          </w:p>
        </w:tc>
        <w:tc>
          <w:tcPr>
            <w:tcW w:type="dxa" w:w="30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6"/>
                <w:szCs w:val="16"/>
              </w:rPr>
              <w:t xml:space="preserve">決算書掲載の有形固定資産減価償却率22.07％の算定根拠</w:t>
            </w:r>
          </w:p>
        </w:tc>
        <w:tc>
          <w:tcPr>
            <w:tcW w:type="dxa" w:w="41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決算状況調査・経営比較分析表に波及するため</w:t>
            </w:r>
          </w:p>
        </w:tc>
        <w:tc>
          <w:tcPr>
            <w:tcW w:type="dxa" w:w="1800"/>
            <w:shd w:fill="FCE4E4"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000000"/>
                <w:sz w:val="16"/>
                <w:szCs w:val="16"/>
              </w:rPr>
              <w:t xml:space="preserve">本報告書で提起</w:t>
            </w:r>
          </w:p>
        </w:tc>
      </w:tr>
      <w:tr>
        <w:tc>
          <w:tcPr>
            <w:tcW w:type="dxa" w:w="700"/>
            <w:shd w:fill="FCE4E4"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000000"/>
                <w:sz w:val="16"/>
                <w:szCs w:val="16"/>
              </w:rPr>
              <w:t xml:space="preserve">8</w:t>
            </w:r>
          </w:p>
        </w:tc>
        <w:tc>
          <w:tcPr>
            <w:tcW w:type="dxa" w:w="30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6"/>
                <w:szCs w:val="16"/>
              </w:rPr>
              <w:t xml:space="preserve">決算状況調査に報告した有形固定資産減価償却率の値</w:t>
            </w:r>
          </w:p>
        </w:tc>
        <w:tc>
          <w:tcPr>
            <w:tcW w:type="dxa" w:w="41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訂正の要否を県と協議する必要が生じる可能性があります</w:t>
            </w:r>
          </w:p>
        </w:tc>
        <w:tc>
          <w:tcPr>
            <w:tcW w:type="dxa" w:w="1800"/>
            <w:shd w:fill="FCE4E4"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000000"/>
                <w:sz w:val="16"/>
                <w:szCs w:val="16"/>
              </w:rPr>
              <w:t xml:space="preserve">本報告書で提起</w:t>
            </w:r>
          </w:p>
        </w:tc>
      </w:tr>
      <w:tr>
        <w:tc>
          <w:tcPr>
            <w:tcW w:type="dxa" w:w="700"/>
            <w:shd w:fill="FCE4E4"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000000"/>
                <w:sz w:val="16"/>
                <w:szCs w:val="16"/>
              </w:rPr>
              <w:t xml:space="preserve">9</w:t>
            </w:r>
          </w:p>
        </w:tc>
        <w:tc>
          <w:tcPr>
            <w:tcW w:type="dxa" w:w="30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bCs/>
                <w:color w:val="000000"/>
                <w:sz w:val="16"/>
                <w:szCs w:val="16"/>
              </w:rPr>
              <w:t xml:space="preserve">案3-Aにおけるメーター使用料の取扱い（統合／別建て据置）</w:t>
            </w:r>
          </w:p>
        </w:tc>
        <w:tc>
          <w:tcPr>
            <w:tcW w:type="dxa" w:w="4100"/>
            <w:shd w:fill="FCE4E4" w:color="auto" w:val="clear"/>
            <w:tcMar>
              <w:top w:type="dxa" w:w="60"/>
              <w:left w:type="dxa" w:w="90"/>
              <w:bottom w:type="dxa" w:w="60"/>
              <w:right w:type="dxa" w:w="90"/>
            </w:tcMar>
            <w:vAlign w:val="center"/>
          </w:tcPr>
          <w:p>
            <w:pPr>
              <w:spacing w:after="0" w:before="0" w:line="240"/>
              <w:jc w:val="left"/>
            </w:pPr>
            <w:r>
              <w:rPr>
                <w:rFonts w:ascii="ＭＳ ゴシック" w:cs="ＭＳ ゴシック" w:eastAsia="ＭＳ ゴシック" w:hAnsi="ＭＳ ゴシック"/>
                <w:b w:val="false"/>
                <w:bCs w:val="false"/>
                <w:color w:val="000000"/>
                <w:sz w:val="16"/>
                <w:szCs w:val="16"/>
              </w:rPr>
              <w:t xml:space="preserve">年間増収額が約3,100千円変わります</w:t>
            </w:r>
          </w:p>
        </w:tc>
        <w:tc>
          <w:tcPr>
            <w:tcW w:type="dxa" w:w="1800"/>
            <w:shd w:fill="FCE4E4" w:color="auto" w:val="clear"/>
            <w:tcMar>
              <w:top w:type="dxa" w:w="60"/>
              <w:left w:type="dxa" w:w="90"/>
              <w:bottom w:type="dxa" w:w="60"/>
              <w:right w:type="dxa" w:w="90"/>
            </w:tcMar>
            <w:vAlign w:val="center"/>
          </w:tcPr>
          <w:p>
            <w:pPr>
              <w:spacing w:after="0" w:before="0" w:line="240"/>
              <w:jc w:val="center"/>
            </w:pPr>
            <w:r>
              <w:rPr>
                <w:rFonts w:ascii="ＭＳ ゴシック" w:cs="ＭＳ ゴシック" w:eastAsia="ＭＳ ゴシック" w:hAnsi="ＭＳ ゴシック"/>
                <w:b/>
                <w:bCs/>
                <w:color w:val="000000"/>
                <w:sz w:val="16"/>
                <w:szCs w:val="16"/>
              </w:rPr>
              <w:t xml:space="preserve">本報告書で提起</w:t>
            </w:r>
          </w:p>
        </w:tc>
      </w:tr>
    </w:tbl>
    <w:p>
      <w:pPr>
        <w:spacing w:after="300"/>
      </w:pPr>
    </w:p>
    <w:p>
      <w:pPr>
        <w:spacing w:before="600"/>
        <w:jc w:val="right"/>
      </w:pPr>
      <w:r>
        <w:rPr>
          <w:rFonts w:ascii="ＭＳ 明朝" w:cs="ＭＳ 明朝" w:eastAsia="ＭＳ 明朝" w:hAnsi="ＭＳ 明朝"/>
          <w:sz w:val="21"/>
          <w:szCs w:val="21"/>
        </w:rPr>
        <w:t xml:space="preserve">以　上</w:t>
      </w:r>
    </w:p>
    <w:sectPr>
      <w:headerReference w:type="default" r:id="rId7"/>
      <w:footerReference w:type="default" r:id="rId8"/>
      <w:pgSz w:w="11906" w:h="16838" w:orient="portrait"/>
      <w:pgMar w:top="1247"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ＭＳ 明朝" w:cs="ＭＳ 明朝" w:eastAsia="ＭＳ 明朝" w:hAnsi="ＭＳ 明朝"/>
        <w:color w:val="808080"/>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rFonts w:ascii="ＭＳ ゴシック" w:cs="ＭＳ ゴシック" w:eastAsia="ＭＳ ゴシック" w:hAnsi="ＭＳ ゴシック"/>
        <w:color w:val="808080"/>
        <w:sz w:val="15"/>
        <w:szCs w:val="15"/>
      </w:rPr>
      <w:t xml:space="preserve">女川町上下水道事業　過年度決算の修正前後における財務・経営指標分析報告書（中間報告）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ＭＳ ゴシック" w:cs="ＭＳ ゴシック" w:eastAsia="ＭＳ ゴシック" w:hAnsi="ＭＳ ゴシック"/>
      <w:b/>
      <w:bCs/>
      <w:color w:val="1F3864"/>
      <w:sz w:val="28"/>
      <w:szCs w:val="28"/>
    </w:rPr>
  </w:style>
  <w:style w:type="paragraph" w:styleId="Heading2">
    <w:name w:val="Heading 2"/>
    <w:basedOn w:val="Normal"/>
    <w:next w:val="Normal"/>
    <w:qFormat/>
    <w:rPr>
      <w:rFonts w:ascii="ＭＳ ゴシック" w:cs="ＭＳ ゴシック" w:eastAsia="ＭＳ ゴシック" w:hAnsi="ＭＳ ゴシック"/>
      <w:b/>
      <w:bCs/>
      <w:color w:val="2E75B6"/>
      <w:sz w:val="23"/>
      <w:szCs w:val="23"/>
    </w:rPr>
  </w:style>
  <w:style w:type="paragraph" w:styleId="Heading3">
    <w:name w:val="Heading 3"/>
    <w:basedOn w:val="Normal"/>
    <w:next w:val="Normal"/>
    <w:qFormat/>
    <w:rPr>
      <w:rFonts w:ascii="ＭＳ ゴシック" w:cs="ＭＳ ゴシック" w:eastAsia="ＭＳ ゴシック" w:hAnsi="ＭＳ ゴシック"/>
      <w:b/>
      <w:bCs/>
      <w:color w:val="C55A11"/>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女川町上下水道事業　過年度決算の修正前後における財務・経営指標分析報告書</dc:title>
  <dc:creator>ビズアップ公共コンサルティング株式会社</dc:creator>
  <dc:description>業務仕様書6(3)対応・中間報告</dc:description>
  <cp:lastModifiedBy>Un-named</cp:lastModifiedBy>
  <cp:revision>1</cp:revision>
  <dcterms:created xsi:type="dcterms:W3CDTF">2026-08-03T04:18:12.684Z</dcterms:created>
  <dcterms:modified xsi:type="dcterms:W3CDTF">2026-08-03T04:18:12.684Z</dcterms:modified>
</cp:coreProperties>
</file>

<file path=docProps/custom.xml><?xml version="1.0" encoding="utf-8"?>
<Properties xmlns="http://schemas.openxmlformats.org/officeDocument/2006/custom-properties" xmlns:vt="http://schemas.openxmlformats.org/officeDocument/2006/docPropsVTypes"/>
</file>