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482段落・52表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137段落・16表</w:t>
            </w:r>
          </w:p>
        </w:tc>
        <w:tc>
          <w:tcPr>
            <w:tcW w:type="dxa" w:w="794"/>
            <w:shd w:val="clear" w:color="auto" w:fill="F2F5FA"/>
            <w:vAlign w:val="center"/>
          </w:tcPr>
          <w:p>
            <w:pPr>
              <w:spacing w:after="0"/>
              <w:jc w:val="center"/>
            </w:pPr>
            <w:r>
              <w:rPr>
                <w:rFonts w:ascii="游ゴシック" w:hAnsi="游ゴシック" w:eastAsia="游ゴシック"/>
                <w:b w:val="0"/>
                <w:sz w:val="18"/>
              </w:rPr>
              <w:t>32件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925段落145表36図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第2章第4節の表から読む。①②③の内容の比較は第9期計画本文が未受領（No.90）であることを書く</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入所欄の合計536人（記入のない1施設あり）と、その1施設を要介護度別の内訳58人で補った594人（入所率91.1％）がある。</w:t>
            </w:r>
            <w:r>
              <w:rPr>
                <w:rFonts w:ascii="游ゴシック" w:hAnsi="游ゴシック" w:eastAsia="游ゴシック"/>
                <w:b/>
                <w:sz w:val="18"/>
              </w:rPr>
              <w:t>どちらを使うかを決め、使った側を明記する</w:t>
            </w:r>
            <w:r>
              <w:rPr>
                <w:rFonts w:ascii="游ゴシック" w:hAnsi="游ゴシック" w:eastAsia="游ゴシック"/>
                <w:b w:val="0"/>
                <w:sz w:val="18"/>
              </w:rPr>
              <w:t>（点検事項No.32）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docx が Markdown を解釈せずアスタリスクが本文に出た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割合の分母を取り違えていた</w:t>
            </w:r>
          </w:p>
        </w:tc>
        <w:tc>
          <w:tcPr>
            <w:tcW w:type="dxa" w:w="2608"/>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推計を実績のように書いていた</w:t>
            </w:r>
          </w:p>
        </w:tc>
        <w:tc>
          <w:tcPr>
            <w:tcW w:type="dxa" w:w="2608"/>
            <w:shd w:val="clear" w:color="auto" w:fill="F2F5FA"/>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shd w:val="clear" w:color="auto" w:fill="F2F5FA"/>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shd w:val="clear" w:color="auto" w:fill="F2F5FA"/>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vAlign w:val="center"/>
          </w:tcPr>
          <w:p>
            <w:pPr>
              <w:spacing w:after="0"/>
            </w:pPr>
            <w:r>
              <w:rPr>
                <w:rFonts w:ascii="游ゴシック" w:hAnsi="游ゴシック" w:eastAsia="游ゴシック"/>
                <w:b/>
                <w:sz w:val="18"/>
              </w:rPr>
              <w:t>同じ項目に2つの数値があった</w:t>
            </w:r>
          </w:p>
        </w:tc>
        <w:tc>
          <w:tcPr>
            <w:tcW w:type="dxa" w:w="2608"/>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存在しない章節を反映先としていた</w:t>
            </w:r>
          </w:p>
        </w:tc>
        <w:tc>
          <w:tcPr>
            <w:tcW w:type="dxa" w:w="2608"/>
            <w:shd w:val="clear" w:color="auto" w:fill="F2F5FA"/>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shd w:val="clear" w:color="auto" w:fill="F2F5FA"/>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shd w:val="clear" w:color="auto" w:fill="F2F5FA"/>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vAlign w:val="center"/>
          </w:tcPr>
          <w:p>
            <w:pPr>
              <w:spacing w:after="0"/>
            </w:pPr>
            <w:r>
              <w:rPr>
                <w:rFonts w:ascii="游ゴシック" w:hAnsi="游ゴシック" w:eastAsia="游ゴシック"/>
                <w:b/>
                <w:sz w:val="18"/>
              </w:rPr>
              <w:t>発注者提出用に当方の内部の仕組みが出ていた</w:t>
            </w:r>
          </w:p>
        </w:tc>
        <w:tc>
          <w:tcPr>
            <w:tcW w:type="dxa" w:w="2608"/>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shd w:val="clear" w:color="auto" w:fill="F2F5FA"/>
            <w:vAlign w:val="center"/>
          </w:tcPr>
          <w:p>
            <w:pPr>
              <w:spacing w:after="0"/>
            </w:pPr>
            <w:r>
              <w:rPr>
                <w:rFonts w:ascii="游ゴシック" w:hAnsi="游ゴシック" w:eastAsia="游ゴシック"/>
                <w:b/>
                <w:sz w:val="18"/>
              </w:rPr>
              <w:t>在籍と受給の表が12分の1になっていた</w:t>
            </w:r>
          </w:p>
        </w:tc>
        <w:tc>
          <w:tcPr>
            <w:tcW w:type="dxa" w:w="2608"/>
            <w:shd w:val="clear" w:color="auto" w:fill="F2F5FA"/>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shd w:val="clear" w:color="auto" w:fill="F2F5FA"/>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vAlign w:val="center"/>
          </w:tcPr>
          <w:p>
            <w:pPr>
              <w:spacing w:after="0"/>
            </w:pPr>
            <w:r>
              <w:rPr>
                <w:rFonts w:ascii="游ゴシック" w:hAnsi="游ゴシック" w:eastAsia="游ゴシック"/>
                <w:b/>
                <w:sz w:val="18"/>
              </w:rPr>
              <w:t>14シートの行が1件も読めなかった</w:t>
            </w:r>
          </w:p>
        </w:tc>
        <w:tc>
          <w:tcPr>
            <w:tcW w:type="dxa" w:w="2608"/>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32件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925段落145表36図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13件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