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spacing w:before="28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spacing w:after="0"/>
              <w:jc w:val="center"/>
            </w:pPr>
            <w:r>
              <w:rPr>
                <w:rFonts w:ascii="游ゴシック" w:hAnsi="游ゴシック" w:eastAsia="游ゴシック"/>
                <w:b/>
                <w:color w:val="FFFFFF"/>
                <w:sz w:val="18"/>
              </w:rPr>
              <w:t>結果</w:t>
            </w:r>
          </w:p>
        </w:tc>
      </w:tr>
      <w:tr>
        <w:trPr>
          <w:cantSplit/>
        </w:trPr>
        <w:tc>
          <w:tcPr>
            <w:tcW w:type="dxa" w:w="1134"/>
            <w:vAlign w:val="center"/>
          </w:tcPr>
          <w:p>
            <w:pPr>
              <w:spacing w:after="0"/>
            </w:pPr>
            <w:r>
              <w:rPr>
                <w:rFonts w:ascii="游ゴシック" w:hAnsi="游ゴシック" w:eastAsia="游ゴシック"/>
                <w:b/>
                <w:sz w:val="18"/>
              </w:rPr>
              <w:t>9月3日</w:t>
            </w:r>
          </w:p>
        </w:tc>
        <w:tc>
          <w:tcPr>
            <w:tcW w:type="dxa" w:w="2268"/>
            <w:vAlign w:val="center"/>
          </w:tcPr>
          <w:p>
            <w:pPr>
              <w:spacing w:after="0"/>
            </w:pPr>
            <w:r>
              <w:rPr>
                <w:rFonts w:ascii="游ゴシック" w:hAnsi="游ゴシック" w:eastAsia="游ゴシック"/>
                <w:b w:val="0"/>
                <w:sz w:val="18"/>
              </w:rPr>
              <w:t>アンケート調査の作業状況を整理した</w:t>
            </w:r>
          </w:p>
        </w:tc>
        <w:tc>
          <w:tcPr>
            <w:tcW w:type="dxa" w:w="2381"/>
            <w:vAlign w:val="center"/>
          </w:tcPr>
          <w:p>
            <w:pPr>
              <w:spacing w:after="0"/>
            </w:pPr>
            <w:r>
              <w:rPr>
                <w:rFonts w:ascii="游ゴシック" w:hAnsi="游ゴシック" w:eastAsia="游ゴシック"/>
                <w:b w:val="0"/>
                <w:sz w:val="18"/>
              </w:rPr>
              <w:t>9月作業_アンケート分析の作業状況（10シート）</w:t>
            </w:r>
          </w:p>
        </w:tc>
        <w:tc>
          <w:tcPr>
            <w:tcW w:type="dxa" w:w="3855"/>
            <w:vAlign w:val="center"/>
          </w:tcPr>
          <w:p>
            <w:pPr>
              <w:spacing w:after="0"/>
            </w:pPr>
            <w:r>
              <w:rPr>
                <w:rFonts w:ascii="游ゴシック" w:hAnsi="游ゴシック" w:eastAsia="游ゴシック"/>
                <w:b w:val="0"/>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9月11日</w:t>
            </w:r>
          </w:p>
        </w:tc>
        <w:tc>
          <w:tcPr>
            <w:tcW w:type="dxa" w:w="2268"/>
            <w:shd w:val="clear" w:color="auto" w:fill="F2F5FA"/>
            <w:vAlign w:val="center"/>
          </w:tcPr>
          <w:p>
            <w:pPr>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spacing w:after="0"/>
            </w:pPr>
            <w:r>
              <w:rPr>
                <w:rFonts w:ascii="游ゴシック" w:hAnsi="游ゴシック" w:eastAsia="游ゴシック"/>
                <w:b w:val="0"/>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spacing w:after="0"/>
            </w:pPr>
            <w:r>
              <w:rPr>
                <w:rFonts w:ascii="游ゴシック" w:hAnsi="游ゴシック" w:eastAsia="游ゴシック"/>
                <w:b/>
                <w:sz w:val="18"/>
              </w:rPr>
              <w:t>9月15日</w:t>
            </w:r>
          </w:p>
        </w:tc>
        <w:tc>
          <w:tcPr>
            <w:tcW w:type="dxa" w:w="2268"/>
            <w:vAlign w:val="center"/>
          </w:tcPr>
          <w:p>
            <w:pPr>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spacing w:after="0"/>
            </w:pPr>
            <w:r>
              <w:rPr>
                <w:rFonts w:ascii="游ゴシック" w:hAnsi="游ゴシック" w:eastAsia="游ゴシック"/>
                <w:b w:val="0"/>
                <w:sz w:val="18"/>
              </w:rPr>
              <w:t>計画素案（925段落145表36図）</w:t>
            </w:r>
          </w:p>
        </w:tc>
        <w:tc>
          <w:tcPr>
            <w:tcW w:type="dxa" w:w="3855"/>
            <w:vAlign w:val="center"/>
          </w:tcPr>
          <w:p>
            <w:pPr>
              <w:spacing w:after="0"/>
            </w:pPr>
            <w:r>
              <w:rPr>
                <w:rFonts w:ascii="游ゴシック" w:hAnsi="游ゴシック" w:eastAsia="游ゴシック"/>
                <w:b w:val="0"/>
                <w:sz w:val="18"/>
              </w:rPr>
              <w:t>第2章第4節は4段落・表1から30段落・表8になった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9月17日</w:t>
            </w:r>
          </w:p>
        </w:tc>
        <w:tc>
          <w:tcPr>
            <w:tcW w:type="dxa" w:w="2268"/>
            <w:shd w:val="clear" w:color="auto" w:fill="F2F5FA"/>
            <w:vAlign w:val="center"/>
          </w:tcPr>
          <w:p>
            <w:pPr>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spacing w:after="0"/>
            </w:pPr>
            <w:r>
              <w:rPr>
                <w:rFonts w:ascii="游ゴシック" w:hAnsi="游ゴシック" w:eastAsia="游ゴシック"/>
                <w:b w:val="0"/>
                <w:sz w:val="18"/>
              </w:rPr>
              <w:t>見込量が計画素案 第6章と食い違っていたものを是正した。χ²と在籍・受給の差を留保一覧と課題整理に収めた。計画本文への反映状況を章節ごとに確認して改めた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spacing w:after="0"/>
            </w:pPr>
            <w:r>
              <w:rPr>
                <w:rFonts w:ascii="游ゴシック" w:hAnsi="游ゴシック" w:eastAsia="游ゴシック"/>
                <w:b w:val="0"/>
                <w:sz w:val="18"/>
              </w:rPr>
              <w:t>計画素案／本書</w:t>
            </w:r>
          </w:p>
        </w:tc>
        <w:tc>
          <w:tcPr>
            <w:tcW w:type="dxa" w:w="3855"/>
            <w:vAlign w:val="center"/>
          </w:tcPr>
          <w:p>
            <w:pPr>
              <w:spacing w:after="0"/>
            </w:pPr>
            <w:r>
              <w:rPr>
                <w:rFonts w:ascii="游ゴシック" w:hAnsi="游ゴシック" w:eastAsia="游ゴシック"/>
                <w:b w:val="0"/>
                <w:sz w:val="18"/>
              </w:rPr>
              <w:t>所見20件のうち11件を反映済みとした。決定を要しないものはすべて反映した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spacing w:before="28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spacing w:after="0"/>
            </w:pPr>
            <w:r>
              <w:rPr>
                <w:rFonts w:ascii="游ゴシック" w:hAnsi="游ゴシック" w:eastAsia="游ゴシック"/>
                <w:b/>
                <w:sz w:val="18"/>
              </w:rPr>
              <w:t>①健康とくらしの調査（JAGES）の集計・分析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調査クロス集計・分析（24シート）</w:t>
            </w:r>
          </w:p>
        </w:tc>
        <w:tc>
          <w:tcPr>
            <w:tcW w:type="dxa" w:w="3515"/>
            <w:vAlign w:val="center"/>
          </w:tcPr>
          <w:p>
            <w:pPr>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spacing w:after="0"/>
            </w:pPr>
            <w:r>
              <w:rPr>
                <w:rFonts w:ascii="游ゴシック" w:hAnsi="游ゴシック" w:eastAsia="游ゴシック"/>
                <w:b/>
                <w:sz w:val="18"/>
              </w:rPr>
              <w:t>②在宅生活改善調査の集計・分析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02シート</w:t>
            </w:r>
          </w:p>
        </w:tc>
        <w:tc>
          <w:tcPr>
            <w:tcW w:type="dxa" w:w="3515"/>
            <w:vAlign w:val="center"/>
          </w:tcPr>
          <w:p>
            <w:pPr>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spacing w:after="0"/>
              <w:jc w:val="center"/>
            </w:pPr>
            <w:r>
              <w:rPr>
                <w:rFonts w:ascii="游ゴシック" w:hAnsi="游ゴシック" w:eastAsia="游ゴシック"/>
                <w:b w:val="0"/>
                <w:sz w:val="18"/>
              </w:rPr>
              <w:t>完了</w:t>
            </w:r>
          </w:p>
        </w:tc>
        <w:tc>
          <w:tcPr>
            <w:tcW w:type="dxa" w:w="2608"/>
            <w:shd w:val="clear" w:color="auto" w:fill="F2F5FA"/>
            <w:vAlign w:val="center"/>
          </w:tcPr>
          <w:p>
            <w:pPr>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spacing w:after="0"/>
            </w:pPr>
            <w:r>
              <w:rPr>
                <w:rFonts w:ascii="游ゴシック" w:hAnsi="游ゴシック" w:eastAsia="游ゴシック"/>
                <w:b/>
                <w:sz w:val="18"/>
              </w:rPr>
              <w:t>④介護人材実態調査の集計・分析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04シート</w:t>
            </w:r>
          </w:p>
        </w:tc>
        <w:tc>
          <w:tcPr>
            <w:tcW w:type="dxa" w:w="3515"/>
            <w:vAlign w:val="center"/>
          </w:tcPr>
          <w:p>
            <w:pPr>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spacing w:after="0"/>
              <w:jc w:val="center"/>
            </w:pPr>
            <w:r>
              <w:rPr>
                <w:rFonts w:ascii="游ゴシック" w:hAnsi="游ゴシック" w:eastAsia="游ゴシック"/>
                <w:b w:val="0"/>
                <w:sz w:val="18"/>
              </w:rPr>
              <w:t>行わない</w:t>
            </w:r>
          </w:p>
        </w:tc>
        <w:tc>
          <w:tcPr>
            <w:tcW w:type="dxa" w:w="2608"/>
            <w:shd w:val="clear" w:color="auto" w:fill="F2F5FA"/>
            <w:vAlign w:val="center"/>
          </w:tcPr>
          <w:p>
            <w:pPr>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val="0"/>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spacing w:before="28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spacing w:after="0"/>
            </w:pPr>
            <w:r>
              <w:rPr>
                <w:rFonts w:ascii="游ゴシック" w:hAnsi="游ゴシック" w:eastAsia="游ゴシック"/>
                <w:b/>
                <w:sz w:val="18"/>
              </w:rPr>
              <w:t>① 事業所票</w:t>
            </w:r>
          </w:p>
        </w:tc>
        <w:tc>
          <w:tcPr>
            <w:tcW w:type="dxa" w:w="1020"/>
            <w:vAlign w:val="center"/>
          </w:tcPr>
          <w:p>
            <w:pPr>
              <w:spacing w:after="0"/>
            </w:pPr>
            <w:r>
              <w:rPr>
                <w:rFonts w:ascii="游ゴシック" w:hAnsi="游ゴシック" w:eastAsia="游ゴシック"/>
                <w:b w:val="0"/>
                <w:sz w:val="18"/>
              </w:rPr>
              <w:t>15件</w:t>
            </w:r>
          </w:p>
        </w:tc>
        <w:tc>
          <w:tcPr>
            <w:tcW w:type="dxa" w:w="2154"/>
            <w:vAlign w:val="center"/>
          </w:tcPr>
          <w:p>
            <w:pPr>
              <w:spacing w:after="0"/>
            </w:pPr>
            <w:r>
              <w:rPr>
                <w:rFonts w:ascii="游ゴシック" w:hAnsi="游ゴシック" w:eastAsia="游ゴシック"/>
                <w:b w:val="0"/>
                <w:sz w:val="18"/>
              </w:rPr>
              <w:t>居宅介護支援13・小規模多機能5・地域包括2</w:t>
            </w:r>
          </w:p>
        </w:tc>
        <w:tc>
          <w:tcPr>
            <w:tcW w:type="dxa" w:w="2041"/>
            <w:vAlign w:val="center"/>
          </w:tcPr>
          <w:p>
            <w:pPr>
              <w:spacing w:after="0"/>
            </w:pPr>
            <w:r>
              <w:rPr>
                <w:rFonts w:ascii="游ゴシック" w:hAnsi="游ゴシック" w:eastAsia="游ゴシック"/>
                <w:b w:val="0"/>
                <w:sz w:val="18"/>
              </w:rPr>
              <w:t>居宅介護支援10・小規模多機能3・地域包括2</w:t>
            </w:r>
          </w:p>
        </w:tc>
        <w:tc>
          <w:tcPr>
            <w:tcW w:type="dxa" w:w="2494"/>
            <w:vAlign w:val="center"/>
          </w:tcPr>
          <w:p>
            <w:pPr>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① 利用者票</w:t>
            </w:r>
          </w:p>
        </w:tc>
        <w:tc>
          <w:tcPr>
            <w:tcW w:type="dxa" w:w="1020"/>
            <w:shd w:val="clear" w:color="auto" w:fill="F2F5FA"/>
            <w:vAlign w:val="center"/>
          </w:tcPr>
          <w:p>
            <w:pPr>
              <w:spacing w:after="0"/>
            </w:pPr>
            <w:r>
              <w:rPr>
                <w:rFonts w:ascii="游ゴシック" w:hAnsi="游ゴシック" w:eastAsia="游ゴシック"/>
                <w:b w:val="0"/>
                <w:sz w:val="18"/>
              </w:rPr>
              <w:t>99票</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10事業所から提出</w:t>
            </w:r>
          </w:p>
        </w:tc>
        <w:tc>
          <w:tcPr>
            <w:tcW w:type="dxa" w:w="2494"/>
            <w:shd w:val="clear" w:color="auto" w:fill="F2F5FA"/>
            <w:vAlign w:val="center"/>
          </w:tcPr>
          <w:p>
            <w:pPr>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spacing w:after="0"/>
            </w:pPr>
            <w:r>
              <w:rPr>
                <w:rFonts w:ascii="游ゴシック" w:hAnsi="游ゴシック" w:eastAsia="游ゴシック"/>
                <w:b/>
                <w:sz w:val="18"/>
              </w:rPr>
              <w:t>② 施設等票</w:t>
            </w:r>
          </w:p>
        </w:tc>
        <w:tc>
          <w:tcPr>
            <w:tcW w:type="dxa" w:w="1020"/>
            <w:vAlign w:val="center"/>
          </w:tcPr>
          <w:p>
            <w:pPr>
              <w:spacing w:after="0"/>
            </w:pPr>
            <w:r>
              <w:rPr>
                <w:rFonts w:ascii="游ゴシック" w:hAnsi="游ゴシック" w:eastAsia="游ゴシック"/>
                <w:b w:val="0"/>
                <w:sz w:val="18"/>
              </w:rPr>
              <w:t>18件</w:t>
            </w:r>
          </w:p>
        </w:tc>
        <w:tc>
          <w:tcPr>
            <w:tcW w:type="dxa" w:w="2154"/>
            <w:vAlign w:val="center"/>
          </w:tcPr>
          <w:p>
            <w:pPr>
              <w:spacing w:after="0"/>
            </w:pPr>
            <w:r>
              <w:rPr>
                <w:rFonts w:ascii="游ゴシック" w:hAnsi="游ゴシック" w:eastAsia="游ゴシック"/>
                <w:b w:val="0"/>
                <w:sz w:val="18"/>
              </w:rPr>
              <w:t>介護保険の指定施設19＋介護保険外の住まい12＝31</w:t>
            </w:r>
          </w:p>
        </w:tc>
        <w:tc>
          <w:tcPr>
            <w:tcW w:type="dxa" w:w="2041"/>
            <w:vAlign w:val="center"/>
          </w:tcPr>
          <w:p>
            <w:pPr>
              <w:spacing w:after="0"/>
            </w:pPr>
            <w:r>
              <w:rPr>
                <w:rFonts w:ascii="游ゴシック" w:hAnsi="游ゴシック" w:eastAsia="游ゴシック"/>
                <w:b w:val="0"/>
                <w:sz w:val="18"/>
              </w:rPr>
              <w:t>指定施設14・介護保険外4</w:t>
            </w:r>
          </w:p>
        </w:tc>
        <w:tc>
          <w:tcPr>
            <w:tcW w:type="dxa" w:w="2494"/>
            <w:vAlign w:val="center"/>
          </w:tcPr>
          <w:p>
            <w:pPr>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spacing w:after="0"/>
            </w:pPr>
            <w:r>
              <w:rPr>
                <w:rFonts w:ascii="游ゴシック" w:hAnsi="游ゴシック" w:eastAsia="游ゴシック"/>
                <w:b/>
                <w:sz w:val="18"/>
              </w:rPr>
              <w:t>③ 事業所票（施設・通所系）</w:t>
            </w:r>
          </w:p>
        </w:tc>
        <w:tc>
          <w:tcPr>
            <w:tcW w:type="dxa" w:w="1020"/>
            <w:shd w:val="clear" w:color="auto" w:fill="F2F5FA"/>
            <w:vAlign w:val="center"/>
          </w:tcPr>
          <w:p>
            <w:pPr>
              <w:spacing w:after="0"/>
            </w:pPr>
            <w:r>
              <w:rPr>
                <w:rFonts w:ascii="游ゴシック" w:hAnsi="游ゴシック" w:eastAsia="游ゴシック"/>
                <w:b w:val="0"/>
                <w:sz w:val="18"/>
              </w:rPr>
              <w:t>24件</w:t>
            </w:r>
          </w:p>
        </w:tc>
        <w:tc>
          <w:tcPr>
            <w:tcW w:type="dxa" w:w="2154"/>
            <w:shd w:val="clear" w:color="auto" w:fill="F2F5FA"/>
            <w:vAlign w:val="center"/>
          </w:tcPr>
          <w:p>
            <w:pPr>
              <w:spacing w:after="0"/>
            </w:pPr>
            <w:r>
              <w:rPr>
                <w:rFonts w:ascii="游ゴシック" w:hAnsi="游ゴシック" w:eastAsia="游ゴシック"/>
                <w:b w:val="0"/>
                <w:sz w:val="18"/>
              </w:rPr>
              <w:t>―</w:t>
            </w:r>
          </w:p>
        </w:tc>
        <w:tc>
          <w:tcPr>
            <w:tcW w:type="dxa" w:w="2041"/>
            <w:shd w:val="clear" w:color="auto" w:fill="F2F5FA"/>
            <w:vAlign w:val="center"/>
          </w:tcPr>
          <w:p>
            <w:pPr>
              <w:spacing w:after="0"/>
            </w:pPr>
            <w:r>
              <w:rPr>
                <w:rFonts w:ascii="游ゴシック" w:hAnsi="游ゴシック" w:eastAsia="游ゴシック"/>
                <w:b w:val="0"/>
                <w:sz w:val="18"/>
              </w:rPr>
              <w:t>―</w:t>
            </w:r>
          </w:p>
        </w:tc>
        <w:tc>
          <w:tcPr>
            <w:tcW w:type="dxa" w:w="2494"/>
            <w:shd w:val="clear" w:color="auto" w:fill="F2F5FA"/>
            <w:vAlign w:val="center"/>
          </w:tcPr>
          <w:p>
            <w:pPr>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spacing w:after="0"/>
            </w:pPr>
            <w:r>
              <w:rPr>
                <w:rFonts w:ascii="游ゴシック" w:hAnsi="游ゴシック" w:eastAsia="游ゴシック"/>
                <w:b/>
                <w:sz w:val="18"/>
              </w:rPr>
              <w:t>③ 事業所票（訪問系）</w:t>
            </w:r>
          </w:p>
        </w:tc>
        <w:tc>
          <w:tcPr>
            <w:tcW w:type="dxa" w:w="1020"/>
            <w:vAlign w:val="center"/>
          </w:tcPr>
          <w:p>
            <w:pPr>
              <w:spacing w:after="0"/>
            </w:pPr>
            <w:r>
              <w:rPr>
                <w:rFonts w:ascii="游ゴシック" w:hAnsi="游ゴシック" w:eastAsia="游ゴシック"/>
                <w:b w:val="0"/>
                <w:sz w:val="18"/>
              </w:rPr>
              <w:t>3件</w:t>
            </w:r>
          </w:p>
        </w:tc>
        <w:tc>
          <w:tcPr>
            <w:tcW w:type="dxa" w:w="2154"/>
            <w:vAlign w:val="center"/>
          </w:tcPr>
          <w:p>
            <w:pPr>
              <w:spacing w:after="0"/>
            </w:pPr>
            <w:r>
              <w:rPr>
                <w:rFonts w:ascii="游ゴシック" w:hAnsi="游ゴシック" w:eastAsia="游ゴシック"/>
                <w:b w:val="0"/>
                <w:sz w:val="18"/>
              </w:rPr>
              <w:t>訪問介護13事業所（見える化K3a・名簿とも）</w:t>
            </w:r>
          </w:p>
        </w:tc>
        <w:tc>
          <w:tcPr>
            <w:tcW w:type="dxa" w:w="2041"/>
            <w:vAlign w:val="center"/>
          </w:tcPr>
          <w:p>
            <w:pPr>
              <w:spacing w:after="0"/>
            </w:pPr>
            <w:r>
              <w:rPr>
                <w:rFonts w:ascii="游ゴシック" w:hAnsi="游ゴシック" w:eastAsia="游ゴシック"/>
                <w:b w:val="0"/>
                <w:sz w:val="18"/>
              </w:rPr>
              <w:t>回収率23.1％</w:t>
            </w:r>
          </w:p>
        </w:tc>
        <w:tc>
          <w:tcPr>
            <w:tcW w:type="dxa" w:w="2494"/>
            <w:vAlign w:val="center"/>
          </w:tcPr>
          <w:p>
            <w:pPr>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spacing w:after="0"/>
            </w:pPr>
            <w:r>
              <w:rPr>
                <w:rFonts w:ascii="游ゴシック" w:hAnsi="游ゴシック" w:eastAsia="游ゴシック"/>
                <w:b/>
                <w:sz w:val="18"/>
              </w:rPr>
              <w:t>③ 職員個票</w:t>
            </w:r>
          </w:p>
        </w:tc>
        <w:tc>
          <w:tcPr>
            <w:tcW w:type="dxa" w:w="1020"/>
            <w:shd w:val="clear" w:color="auto" w:fill="F2F5FA"/>
            <w:vAlign w:val="center"/>
          </w:tcPr>
          <w:p>
            <w:pPr>
              <w:spacing w:after="0"/>
            </w:pPr>
            <w:r>
              <w:rPr>
                <w:rFonts w:ascii="游ゴシック" w:hAnsi="游ゴシック" w:eastAsia="游ゴシック"/>
                <w:b w:val="0"/>
                <w:sz w:val="18"/>
              </w:rPr>
              <w:t>317人</w:t>
            </w:r>
          </w:p>
        </w:tc>
        <w:tc>
          <w:tcPr>
            <w:tcW w:type="dxa" w:w="2154"/>
            <w:shd w:val="clear" w:color="auto" w:fill="F2F5FA"/>
            <w:vAlign w:val="center"/>
          </w:tcPr>
          <w:p>
            <w:pPr>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spacing w:after="0"/>
            </w:pPr>
            <w:r>
              <w:rPr>
                <w:rFonts w:ascii="游ゴシック" w:hAnsi="游ゴシック" w:eastAsia="游ゴシック"/>
                <w:b w:val="0"/>
                <w:sz w:val="18"/>
              </w:rPr>
              <w:t>99.4％</w:t>
            </w:r>
          </w:p>
        </w:tc>
        <w:tc>
          <w:tcPr>
            <w:tcW w:type="dxa" w:w="2494"/>
            <w:shd w:val="clear" w:color="auto" w:fill="F2F5FA"/>
            <w:vAlign w:val="center"/>
          </w:tcPr>
          <w:p>
            <w:pPr>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spacing w:after="0"/>
            </w:pPr>
            <w:r>
              <w:rPr>
                <w:rFonts w:ascii="游ゴシック" w:hAnsi="游ゴシック" w:eastAsia="游ゴシック"/>
                <w:b/>
                <w:sz w:val="18"/>
              </w:rPr>
              <w:t>③ 職員票（訪問系）</w:t>
            </w:r>
          </w:p>
        </w:tc>
        <w:tc>
          <w:tcPr>
            <w:tcW w:type="dxa" w:w="1020"/>
            <w:vAlign w:val="center"/>
          </w:tcPr>
          <w:p>
            <w:pPr>
              <w:spacing w:after="0"/>
            </w:pPr>
            <w:r>
              <w:rPr>
                <w:rFonts w:ascii="游ゴシック" w:hAnsi="游ゴシック" w:eastAsia="游ゴシック"/>
                <w:b w:val="0"/>
                <w:sz w:val="18"/>
              </w:rPr>
              <w:t>26件</w:t>
            </w:r>
          </w:p>
        </w:tc>
        <w:tc>
          <w:tcPr>
            <w:tcW w:type="dxa" w:w="2154"/>
            <w:vAlign w:val="center"/>
          </w:tcPr>
          <w:p>
            <w:pPr>
              <w:spacing w:after="0"/>
            </w:pPr>
            <w:r>
              <w:rPr>
                <w:rFonts w:ascii="游ゴシック" w:hAnsi="游ゴシック" w:eastAsia="游ゴシック"/>
                <w:b w:val="0"/>
                <w:sz w:val="18"/>
              </w:rPr>
              <w:t>訪問系3事業所の介護職員42人</w:t>
            </w:r>
          </w:p>
        </w:tc>
        <w:tc>
          <w:tcPr>
            <w:tcW w:type="dxa" w:w="2041"/>
            <w:vAlign w:val="center"/>
          </w:tcPr>
          <w:p>
            <w:pPr>
              <w:spacing w:after="0"/>
            </w:pPr>
            <w:r>
              <w:rPr>
                <w:rFonts w:ascii="游ゴシック" w:hAnsi="游ゴシック" w:eastAsia="游ゴシック"/>
                <w:b w:val="0"/>
                <w:sz w:val="18"/>
              </w:rPr>
              <w:t>61.9％</w:t>
            </w:r>
          </w:p>
        </w:tc>
        <w:tc>
          <w:tcPr>
            <w:tcW w:type="dxa" w:w="2494"/>
            <w:vAlign w:val="center"/>
          </w:tcPr>
          <w:p>
            <w:pPr>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val="0"/>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①利用者票（99票）には母数がありません。</w:t>
      </w:r>
      <w:r>
        <w:rPr>
          <w:rFonts w:ascii="游ゴシック" w:hAnsi="游ゴシック" w:eastAsia="游ゴシック"/>
          <w:b w:val="0"/>
          <w:sz w:val="21"/>
        </w:rPr>
        <w:t>10事業所から提出されたもので、配布数の記録がありません。在宅の認定者（年報 令和7年度の月平均1,503.8人）を母集団とみると分布が食い違います（第6節1）。「調査対象となった98人のうち」と母数を明記して引きます。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spacing w:after="0"/>
            </w:pPr>
            <w:r>
              <w:rPr>
                <w:rFonts w:ascii="游ゴシック" w:hAnsi="游ゴシック" w:eastAsia="游ゴシック"/>
                <w:b/>
                <w:sz w:val="18"/>
              </w:rPr>
              <w:t>① 在宅生活改善調査</w:t>
            </w:r>
          </w:p>
        </w:tc>
        <w:tc>
          <w:tcPr>
            <w:tcW w:type="dxa" w:w="2835"/>
            <w:vAlign w:val="center"/>
          </w:tcPr>
          <w:p>
            <w:pPr>
              <w:spacing w:after="0"/>
            </w:pPr>
            <w:r>
              <w:rPr>
                <w:rFonts w:ascii="游ゴシック" w:hAnsi="游ゴシック" w:eastAsia="游ゴシック"/>
                <w:b w:val="0"/>
                <w:sz w:val="18"/>
              </w:rPr>
              <w:t>令和5年5月25日送付・12事業所91人</w:t>
            </w:r>
          </w:p>
        </w:tc>
        <w:tc>
          <w:tcPr>
            <w:tcW w:type="dxa" w:w="2608"/>
            <w:vAlign w:val="center"/>
          </w:tcPr>
          <w:p>
            <w:pPr>
              <w:spacing w:after="0"/>
            </w:pPr>
            <w:r>
              <w:rPr>
                <w:rFonts w:ascii="游ゴシック" w:hAnsi="游ゴシック" w:eastAsia="游ゴシック"/>
                <w:b w:val="0"/>
                <w:sz w:val="18"/>
              </w:rPr>
              <w:t>15事業所・利用者票99票</w:t>
            </w:r>
          </w:p>
        </w:tc>
        <w:tc>
          <w:tcPr>
            <w:tcW w:type="dxa" w:w="2381"/>
            <w:vAlign w:val="center"/>
          </w:tcPr>
          <w:p>
            <w:pPr>
              <w:spacing w:after="0"/>
            </w:pPr>
            <w:r>
              <w:rPr>
                <w:rFonts w:ascii="游ゴシック" w:hAnsi="游ゴシック" w:eastAsia="游ゴシック"/>
                <w:b w:val="0"/>
                <w:sz w:val="18"/>
              </w:rPr>
              <w:t>規模のみ。設問と集計区分の一致を確かめられない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② 居所変更実態調査</w:t>
            </w:r>
          </w:p>
        </w:tc>
        <w:tc>
          <w:tcPr>
            <w:tcW w:type="dxa" w:w="2835"/>
            <w:shd w:val="clear" w:color="auto" w:fill="F2F5FA"/>
            <w:vAlign w:val="center"/>
          </w:tcPr>
          <w:p>
            <w:pPr>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spacing w:after="0"/>
            </w:pPr>
            <w:r>
              <w:rPr>
                <w:rFonts w:ascii="游ゴシック" w:hAnsi="游ゴシック" w:eastAsia="游ゴシック"/>
                <w:b w:val="0"/>
                <w:sz w:val="18"/>
              </w:rPr>
              <w:t>18施設（定員652人）</w:t>
            </w:r>
          </w:p>
        </w:tc>
        <w:tc>
          <w:tcPr>
            <w:tcW w:type="dxa" w:w="2381"/>
            <w:shd w:val="clear" w:color="auto" w:fill="F2F5FA"/>
            <w:vAlign w:val="center"/>
          </w:tcPr>
          <w:p>
            <w:pPr>
              <w:spacing w:after="0"/>
            </w:pPr>
            <w:r>
              <w:rPr>
                <w:rFonts w:ascii="游ゴシック" w:hAnsi="游ゴシック" w:eastAsia="游ゴシック"/>
                <w:b w:val="0"/>
                <w:sz w:val="18"/>
              </w:rPr>
              <w:t>規模のみ。回答施設の顔ぶれが異なる</w:t>
            </w:r>
          </w:p>
        </w:tc>
      </w:tr>
      <w:tr>
        <w:trPr>
          <w:cantSplit/>
        </w:trPr>
        <w:tc>
          <w:tcPr>
            <w:tcW w:type="dxa" w:w="1928"/>
            <w:vAlign w:val="center"/>
          </w:tcPr>
          <w:p>
            <w:pPr>
              <w:spacing w:after="0"/>
            </w:pPr>
            <w:r>
              <w:rPr>
                <w:rFonts w:ascii="游ゴシック" w:hAnsi="游ゴシック" w:eastAsia="游ゴシック"/>
                <w:b/>
                <w:sz w:val="18"/>
              </w:rPr>
              <w:t>③ 介護人材実態調査</w:t>
            </w:r>
          </w:p>
        </w:tc>
        <w:tc>
          <w:tcPr>
            <w:tcW w:type="dxa" w:w="2835"/>
            <w:vAlign w:val="center"/>
          </w:tcPr>
          <w:p>
            <w:pPr>
              <w:spacing w:after="0"/>
            </w:pPr>
            <w:r>
              <w:rPr>
                <w:rFonts w:ascii="游ゴシック" w:hAnsi="游ゴシック" w:eastAsia="游ゴシック"/>
                <w:b w:val="0"/>
                <w:sz w:val="18"/>
              </w:rPr>
              <w:t>令和5年5月25日送付・27施設405人</w:t>
            </w:r>
          </w:p>
        </w:tc>
        <w:tc>
          <w:tcPr>
            <w:tcW w:type="dxa" w:w="2608"/>
            <w:vAlign w:val="center"/>
          </w:tcPr>
          <w:p>
            <w:pPr>
              <w:spacing w:after="0"/>
            </w:pPr>
            <w:r>
              <w:rPr>
                <w:rFonts w:ascii="游ゴシック" w:hAnsi="游ゴシック" w:eastAsia="游ゴシック"/>
                <w:b w:val="0"/>
                <w:sz w:val="18"/>
              </w:rPr>
              <w:t>27事業所・職員個票317人・職員票26件</w:t>
            </w:r>
          </w:p>
        </w:tc>
        <w:tc>
          <w:tcPr>
            <w:tcW w:type="dxa" w:w="2381"/>
            <w:vAlign w:val="center"/>
          </w:tcPr>
          <w:p>
            <w:pPr>
              <w:spacing w:after="0"/>
            </w:pPr>
            <w:r>
              <w:rPr>
                <w:rFonts w:ascii="游ゴシック" w:hAnsi="游ゴシック" w:eastAsia="游ゴシック"/>
                <w:b w:val="0"/>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val="0"/>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spacing w:after="0"/>
              <w:jc w:val="center"/>
            </w:pPr>
            <w:r>
              <w:rPr>
                <w:rFonts w:ascii="游ゴシック" w:hAnsi="游ゴシック" w:eastAsia="游ゴシック"/>
                <w:b/>
                <w:color w:val="FFFFFF"/>
                <w:sz w:val="18"/>
              </w:rPr>
              <w:t>評価</w:t>
            </w:r>
          </w:p>
        </w:tc>
      </w:tr>
      <w:tr>
        <w:trPr>
          <w:cantSplit/>
        </w:trPr>
        <w:tc>
          <w:tcPr>
            <w:tcW w:type="dxa" w:w="2381"/>
            <w:vAlign w:val="center"/>
          </w:tcPr>
          <w:p>
            <w:pPr>
              <w:spacing w:after="0"/>
            </w:pPr>
            <w:r>
              <w:rPr>
                <w:rFonts w:ascii="游ゴシック" w:hAnsi="游ゴシック" w:eastAsia="游ゴシック"/>
                <w:b/>
                <w:sz w:val="18"/>
              </w:rPr>
              <w:t>フレイル該当割合</w:t>
            </w:r>
          </w:p>
        </w:tc>
        <w:tc>
          <w:tcPr>
            <w:tcW w:type="dxa" w:w="1020"/>
            <w:vAlign w:val="center"/>
          </w:tcPr>
          <w:p>
            <w:pPr>
              <w:spacing w:after="0"/>
            </w:pPr>
            <w:r>
              <w:rPr>
                <w:rFonts w:ascii="游ゴシック" w:hAnsi="游ゴシック" w:eastAsia="游ゴシック"/>
                <w:b w:val="0"/>
                <w:sz w:val="18"/>
              </w:rPr>
              <w:t>18.5％</w:t>
            </w:r>
          </w:p>
        </w:tc>
        <w:tc>
          <w:tcPr>
            <w:tcW w:type="dxa" w:w="1020"/>
            <w:vAlign w:val="center"/>
          </w:tcPr>
          <w:p>
            <w:pPr>
              <w:spacing w:after="0"/>
            </w:pPr>
            <w:r>
              <w:rPr>
                <w:rFonts w:ascii="游ゴシック" w:hAnsi="游ゴシック" w:eastAsia="游ゴシック"/>
                <w:b w:val="0"/>
                <w:sz w:val="18"/>
              </w:rPr>
              <w:t>19.1％</w:t>
            </w:r>
          </w:p>
        </w:tc>
        <w:tc>
          <w:tcPr>
            <w:tcW w:type="dxa" w:w="1247"/>
            <w:vAlign w:val="center"/>
          </w:tcPr>
          <w:p>
            <w:pPr>
              <w:spacing w:after="0"/>
            </w:pPr>
            <w:r>
              <w:rPr>
                <w:rFonts w:ascii="游ゴシック" w:hAnsi="游ゴシック" w:eastAsia="游ゴシック"/>
                <w:b w:val="0"/>
                <w:sz w:val="18"/>
              </w:rPr>
              <w:t>18.0％（R7）</w:t>
            </w:r>
          </w:p>
        </w:tc>
        <w:tc>
          <w:tcPr>
            <w:tcW w:type="dxa" w:w="4082"/>
            <w:vAlign w:val="center"/>
          </w:tcPr>
          <w:p>
            <w:pPr>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spacing w:after="0"/>
            </w:pPr>
            <w:r>
              <w:rPr>
                <w:rFonts w:ascii="游ゴシック" w:hAnsi="游ゴシック" w:eastAsia="游ゴシック"/>
                <w:b w:val="0"/>
                <w:sz w:val="18"/>
              </w:rPr>
              <w:t>7.3％</w:t>
            </w:r>
          </w:p>
        </w:tc>
        <w:tc>
          <w:tcPr>
            <w:tcW w:type="dxa" w:w="1020"/>
            <w:shd w:val="clear" w:color="auto" w:fill="F2F5FA"/>
            <w:vAlign w:val="center"/>
          </w:tcPr>
          <w:p>
            <w:pPr>
              <w:spacing w:after="0"/>
            </w:pPr>
            <w:r>
              <w:rPr>
                <w:rFonts w:ascii="游ゴシック" w:hAnsi="游ゴシック" w:eastAsia="游ゴシック"/>
                <w:b w:val="0"/>
                <w:sz w:val="18"/>
              </w:rPr>
              <w:t>8.8％</w:t>
            </w:r>
          </w:p>
        </w:tc>
        <w:tc>
          <w:tcPr>
            <w:tcW w:type="dxa" w:w="1247"/>
            <w:shd w:val="clear" w:color="auto" w:fill="F2F5FA"/>
            <w:vAlign w:val="center"/>
          </w:tcPr>
          <w:p>
            <w:pPr>
              <w:spacing w:after="0"/>
            </w:pPr>
            <w:r>
              <w:rPr>
                <w:rFonts w:ascii="游ゴシック" w:hAnsi="游ゴシック" w:eastAsia="游ゴシック"/>
                <w:b w:val="0"/>
                <w:sz w:val="18"/>
              </w:rPr>
              <w:t>10.0％（R8）</w:t>
            </w:r>
          </w:p>
        </w:tc>
        <w:tc>
          <w:tcPr>
            <w:tcW w:type="dxa" w:w="4082"/>
            <w:shd w:val="clear" w:color="auto" w:fill="F2F5FA"/>
            <w:vAlign w:val="center"/>
          </w:tcPr>
          <w:p>
            <w:pPr>
              <w:spacing w:after="0"/>
            </w:pPr>
            <w:r>
              <w:rPr>
                <w:rFonts w:ascii="游ゴシック" w:hAnsi="游ゴシック" w:eastAsia="游ゴシック"/>
                <w:b w:val="0"/>
                <w:sz w:val="18"/>
              </w:rPr>
              <w:t>自主目標に0.2ポイント未達。ただし統計が国の目標値と異なる（第3章第1節）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val="0"/>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前回の結果は第9期計画の本文に掲載されていますが、本文からは回収票数・回収率を復元できず、第9期計画の本文そのものを受領していないためです（確認事項No.90）。受領できれば、図表集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計画素案は現在925段落145表36図です。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spacing w:before="28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spacing w:after="0"/>
            </w:pPr>
            <w:r>
              <w:rPr>
                <w:rFonts w:ascii="游ゴシック" w:hAnsi="游ゴシック" w:eastAsia="游ゴシック"/>
                <w:b/>
                <w:sz w:val="18"/>
              </w:rPr>
              <w:t>要支援1</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18.9</w:t>
            </w:r>
          </w:p>
        </w:tc>
        <w:tc>
          <w:tcPr>
            <w:tcW w:type="dxa" w:w="1701"/>
            <w:vAlign w:val="center"/>
          </w:tcPr>
          <w:p>
            <w:pPr>
              <w:spacing w:after="0"/>
              <w:jc w:val="center"/>
            </w:pPr>
            <w:r>
              <w:rPr>
                <w:rFonts w:ascii="游ゴシック" w:hAnsi="游ゴシック" w:eastAsia="游ゴシック"/>
                <w:b w:val="0"/>
                <w:sz w:val="18"/>
              </w:rPr>
              <w:t>0.16倍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要支援2</w:t>
            </w:r>
          </w:p>
        </w:tc>
        <w:tc>
          <w:tcPr>
            <w:tcW w:type="dxa" w:w="1701"/>
            <w:shd w:val="clear" w:color="auto" w:fill="F2F5FA"/>
            <w:vAlign w:val="center"/>
          </w:tcPr>
          <w:p>
            <w:pPr>
              <w:spacing w:after="0"/>
              <w:jc w:val="center"/>
            </w:pPr>
            <w:r>
              <w:rPr>
                <w:rFonts w:ascii="游ゴシック" w:hAnsi="游ゴシック" w:eastAsia="游ゴシック"/>
                <w:b w:val="0"/>
                <w:sz w:val="18"/>
              </w:rPr>
              <w:t>13</w:t>
            </w:r>
          </w:p>
        </w:tc>
        <w:tc>
          <w:tcPr>
            <w:tcW w:type="dxa" w:w="3402"/>
            <w:shd w:val="clear" w:color="auto" w:fill="F2F5FA"/>
            <w:vAlign w:val="center"/>
          </w:tcPr>
          <w:p>
            <w:pPr>
              <w:spacing w:after="0"/>
              <w:jc w:val="center"/>
            </w:pPr>
            <w:r>
              <w:rPr>
                <w:rFonts w:ascii="游ゴシック" w:hAnsi="游ゴシック" w:eastAsia="游ゴシック"/>
                <w:b w:val="0"/>
                <w:sz w:val="18"/>
              </w:rPr>
              <w:t>18.7</w:t>
            </w:r>
          </w:p>
        </w:tc>
        <w:tc>
          <w:tcPr>
            <w:tcW w:type="dxa" w:w="1701"/>
            <w:shd w:val="clear" w:color="auto" w:fill="F2F5FA"/>
            <w:vAlign w:val="center"/>
          </w:tcPr>
          <w:p>
            <w:pPr>
              <w:spacing w:after="0"/>
              <w:jc w:val="center"/>
            </w:pPr>
            <w:r>
              <w:rPr>
                <w:rFonts w:ascii="游ゴシック" w:hAnsi="游ゴシック" w:eastAsia="游ゴシック"/>
                <w:b w:val="0"/>
                <w:sz w:val="18"/>
              </w:rPr>
              <w:t>0.70倍</w:t>
            </w:r>
          </w:p>
        </w:tc>
      </w:tr>
      <w:tr>
        <w:trPr>
          <w:cantSplit/>
        </w:trPr>
        <w:tc>
          <w:tcPr>
            <w:tcW w:type="dxa" w:w="1701"/>
            <w:vAlign w:val="center"/>
          </w:tcPr>
          <w:p>
            <w:pPr>
              <w:spacing w:after="0"/>
            </w:pPr>
            <w:r>
              <w:rPr>
                <w:rFonts w:ascii="游ゴシック" w:hAnsi="游ゴシック" w:eastAsia="游ゴシック"/>
                <w:b/>
                <w:sz w:val="18"/>
              </w:rPr>
              <w:t>要介護1</w:t>
            </w:r>
          </w:p>
        </w:tc>
        <w:tc>
          <w:tcPr>
            <w:tcW w:type="dxa" w:w="1701"/>
            <w:vAlign w:val="center"/>
          </w:tcPr>
          <w:p>
            <w:pPr>
              <w:spacing w:after="0"/>
              <w:jc w:val="center"/>
            </w:pPr>
            <w:r>
              <w:rPr>
                <w:rFonts w:ascii="游ゴシック" w:hAnsi="游ゴシック" w:eastAsia="游ゴシック"/>
                <w:b w:val="0"/>
                <w:sz w:val="18"/>
              </w:rPr>
              <w:t>33</w:t>
            </w:r>
          </w:p>
        </w:tc>
        <w:tc>
          <w:tcPr>
            <w:tcW w:type="dxa" w:w="3402"/>
            <w:vAlign w:val="center"/>
          </w:tcPr>
          <w:p>
            <w:pPr>
              <w:spacing w:after="0"/>
              <w:jc w:val="center"/>
            </w:pPr>
            <w:r>
              <w:rPr>
                <w:rFonts w:ascii="游ゴシック" w:hAnsi="游ゴシック" w:eastAsia="游ゴシック"/>
                <w:b w:val="0"/>
                <w:sz w:val="18"/>
              </w:rPr>
              <w:t>29.3</w:t>
            </w:r>
          </w:p>
        </w:tc>
        <w:tc>
          <w:tcPr>
            <w:tcW w:type="dxa" w:w="1701"/>
            <w:vAlign w:val="center"/>
          </w:tcPr>
          <w:p>
            <w:pPr>
              <w:spacing w:after="0"/>
              <w:jc w:val="center"/>
            </w:pPr>
            <w:r>
              <w:rPr>
                <w:rFonts w:ascii="游ゴシック" w:hAnsi="游ゴシック" w:eastAsia="游ゴシック"/>
                <w:b w:val="0"/>
                <w:sz w:val="18"/>
              </w:rPr>
              <w:t>1.13倍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要介護2</w:t>
            </w:r>
          </w:p>
        </w:tc>
        <w:tc>
          <w:tcPr>
            <w:tcW w:type="dxa" w:w="1701"/>
            <w:shd w:val="clear" w:color="auto" w:fill="F2F5FA"/>
            <w:vAlign w:val="center"/>
          </w:tcPr>
          <w:p>
            <w:pPr>
              <w:spacing w:after="0"/>
              <w:jc w:val="center"/>
            </w:pPr>
            <w:r>
              <w:rPr>
                <w:rFonts w:ascii="游ゴシック" w:hAnsi="游ゴシック" w:eastAsia="游ゴシック"/>
                <w:b w:val="0"/>
                <w:sz w:val="18"/>
              </w:rPr>
              <w:t>22</w:t>
            </w:r>
          </w:p>
        </w:tc>
        <w:tc>
          <w:tcPr>
            <w:tcW w:type="dxa" w:w="3402"/>
            <w:shd w:val="clear" w:color="auto" w:fill="F2F5FA"/>
            <w:vAlign w:val="center"/>
          </w:tcPr>
          <w:p>
            <w:pPr>
              <w:spacing w:after="0"/>
              <w:jc w:val="center"/>
            </w:pPr>
            <w:r>
              <w:rPr>
                <w:rFonts w:ascii="游ゴシック" w:hAnsi="游ゴシック" w:eastAsia="游ゴシック"/>
                <w:b w:val="0"/>
                <w:sz w:val="18"/>
              </w:rPr>
              <w:t>13.8</w:t>
            </w:r>
          </w:p>
        </w:tc>
        <w:tc>
          <w:tcPr>
            <w:tcW w:type="dxa" w:w="1701"/>
            <w:shd w:val="clear" w:color="auto" w:fill="F2F5FA"/>
            <w:vAlign w:val="center"/>
          </w:tcPr>
          <w:p>
            <w:pPr>
              <w:spacing w:after="0"/>
              <w:jc w:val="center"/>
            </w:pPr>
            <w:r>
              <w:rPr>
                <w:rFonts w:ascii="游ゴシック" w:hAnsi="游ゴシック" w:eastAsia="游ゴシック"/>
                <w:b w:val="0"/>
                <w:sz w:val="18"/>
              </w:rPr>
              <w:t>1.59倍</w:t>
            </w:r>
          </w:p>
        </w:tc>
      </w:tr>
      <w:tr>
        <w:trPr>
          <w:cantSplit/>
        </w:trPr>
        <w:tc>
          <w:tcPr>
            <w:tcW w:type="dxa" w:w="1701"/>
            <w:vAlign w:val="center"/>
          </w:tcPr>
          <w:p>
            <w:pPr>
              <w:spacing w:after="0"/>
            </w:pPr>
            <w:r>
              <w:rPr>
                <w:rFonts w:ascii="游ゴシック" w:hAnsi="游ゴシック" w:eastAsia="游ゴシック"/>
                <w:b/>
                <w:sz w:val="18"/>
              </w:rPr>
              <w:t>要介護3</w:t>
            </w:r>
          </w:p>
        </w:tc>
        <w:tc>
          <w:tcPr>
            <w:tcW w:type="dxa" w:w="1701"/>
            <w:vAlign w:val="center"/>
          </w:tcPr>
          <w:p>
            <w:pPr>
              <w:spacing w:after="0"/>
              <w:jc w:val="center"/>
            </w:pPr>
            <w:r>
              <w:rPr>
                <w:rFonts w:ascii="游ゴシック" w:hAnsi="游ゴシック" w:eastAsia="游ゴシック"/>
                <w:b w:val="0"/>
                <w:sz w:val="18"/>
              </w:rPr>
              <w:t>19</w:t>
            </w:r>
          </w:p>
        </w:tc>
        <w:tc>
          <w:tcPr>
            <w:tcW w:type="dxa" w:w="3402"/>
            <w:vAlign w:val="center"/>
          </w:tcPr>
          <w:p>
            <w:pPr>
              <w:spacing w:after="0"/>
              <w:jc w:val="center"/>
            </w:pPr>
            <w:r>
              <w:rPr>
                <w:rFonts w:ascii="游ゴシック" w:hAnsi="游ゴシック" w:eastAsia="游ゴシック"/>
                <w:b w:val="0"/>
                <w:sz w:val="18"/>
              </w:rPr>
              <w:t>6.7</w:t>
            </w:r>
          </w:p>
        </w:tc>
        <w:tc>
          <w:tcPr>
            <w:tcW w:type="dxa" w:w="1701"/>
            <w:vAlign w:val="center"/>
          </w:tcPr>
          <w:p>
            <w:pPr>
              <w:spacing w:after="0"/>
              <w:jc w:val="center"/>
            </w:pPr>
            <w:r>
              <w:rPr>
                <w:rFonts w:ascii="游ゴシック" w:hAnsi="游ゴシック" w:eastAsia="游ゴシック"/>
                <w:b w:val="0"/>
                <w:sz w:val="18"/>
              </w:rPr>
              <w:t>2.82倍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要介護4</w:t>
            </w:r>
          </w:p>
        </w:tc>
        <w:tc>
          <w:tcPr>
            <w:tcW w:type="dxa" w:w="1701"/>
            <w:shd w:val="clear" w:color="auto" w:fill="F2F5FA"/>
            <w:vAlign w:val="center"/>
          </w:tcPr>
          <w:p>
            <w:pPr>
              <w:spacing w:after="0"/>
              <w:jc w:val="center"/>
            </w:pPr>
            <w:r>
              <w:rPr>
                <w:rFonts w:ascii="游ゴシック" w:hAnsi="游ゴシック" w:eastAsia="游ゴシック"/>
                <w:b w:val="0"/>
                <w:sz w:val="18"/>
              </w:rPr>
              <w:t>5</w:t>
            </w:r>
          </w:p>
        </w:tc>
        <w:tc>
          <w:tcPr>
            <w:tcW w:type="dxa" w:w="3402"/>
            <w:shd w:val="clear" w:color="auto" w:fill="F2F5FA"/>
            <w:vAlign w:val="center"/>
          </w:tcPr>
          <w:p>
            <w:pPr>
              <w:spacing w:after="0"/>
              <w:jc w:val="center"/>
            </w:pPr>
            <w:r>
              <w:rPr>
                <w:rFonts w:ascii="游ゴシック" w:hAnsi="游ゴシック" w:eastAsia="游ゴシック"/>
                <w:b w:val="0"/>
                <w:sz w:val="18"/>
              </w:rPr>
              <w:t>5.6</w:t>
            </w:r>
          </w:p>
        </w:tc>
        <w:tc>
          <w:tcPr>
            <w:tcW w:type="dxa" w:w="1701"/>
            <w:shd w:val="clear" w:color="auto" w:fill="F2F5FA"/>
            <w:vAlign w:val="center"/>
          </w:tcPr>
          <w:p>
            <w:pPr>
              <w:spacing w:after="0"/>
              <w:jc w:val="center"/>
            </w:pPr>
            <w:r>
              <w:rPr>
                <w:rFonts w:ascii="游ゴシック" w:hAnsi="游ゴシック" w:eastAsia="游ゴシック"/>
                <w:b w:val="0"/>
                <w:sz w:val="18"/>
              </w:rPr>
              <w:t>0.89倍</w:t>
            </w:r>
          </w:p>
        </w:tc>
      </w:tr>
      <w:tr>
        <w:trPr>
          <w:cantSplit/>
        </w:trPr>
        <w:tc>
          <w:tcPr>
            <w:tcW w:type="dxa" w:w="1701"/>
            <w:vAlign w:val="center"/>
          </w:tcPr>
          <w:p>
            <w:pPr>
              <w:spacing w:after="0"/>
            </w:pPr>
            <w:r>
              <w:rPr>
                <w:rFonts w:ascii="游ゴシック" w:hAnsi="游ゴシック" w:eastAsia="游ゴシック"/>
                <w:b/>
                <w:sz w:val="18"/>
              </w:rPr>
              <w:t>要介護5</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4.9</w:t>
            </w:r>
          </w:p>
        </w:tc>
        <w:tc>
          <w:tcPr>
            <w:tcW w:type="dxa" w:w="1701"/>
            <w:vAlign w:val="center"/>
          </w:tcPr>
          <w:p>
            <w:pPr>
              <w:spacing w:after="0"/>
              <w:jc w:val="center"/>
            </w:pPr>
            <w:r>
              <w:rPr>
                <w:rFonts w:ascii="游ゴシック" w:hAnsi="游ゴシック" w:eastAsia="游ゴシック"/>
                <w:b w:val="0"/>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val="0"/>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このずれは、回答者が98人と少ないことによる偶然では説明できません。</w:t>
      </w:r>
      <w:r>
        <w:rPr>
          <w:rFonts w:ascii="游ゴシック" w:hAnsi="游ゴシック" w:eastAsia="游ゴシック"/>
          <w:b w:val="0"/>
          <w:sz w:val="21"/>
        </w:rPr>
        <w:t>偶然でこれだけずれる確率は1％を下回ります。言い換えると、たまたまこういう回答が集まったのではなく、調査の集め方によって重い方が多く集まったということです。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H12（必要サービス未充足率）も同じ母集団の指標になります。計画本文では「調査対象となった98人のうち」と明記します。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1928"/>
            <w:vAlign w:val="center"/>
          </w:tcPr>
          <w:p>
            <w:pPr>
              <w:spacing w:after="0"/>
            </w:pPr>
            <w:r>
              <w:rPr>
                <w:rFonts w:ascii="游ゴシック" w:hAnsi="游ゴシック" w:eastAsia="游ゴシック"/>
                <w:b/>
                <w:sz w:val="18"/>
              </w:rPr>
              <w:t>グループホーム</w:t>
            </w:r>
          </w:p>
        </w:tc>
        <w:tc>
          <w:tcPr>
            <w:tcW w:type="dxa" w:w="1247"/>
            <w:vAlign w:val="center"/>
          </w:tcPr>
          <w:p>
            <w:pPr>
              <w:spacing w:after="0"/>
              <w:jc w:val="center"/>
            </w:pPr>
            <w:r>
              <w:rPr>
                <w:rFonts w:ascii="游ゴシック" w:hAnsi="游ゴシック" w:eastAsia="游ゴシック"/>
                <w:b w:val="0"/>
                <w:sz w:val="18"/>
              </w:rPr>
              <w:t>75</w:t>
            </w:r>
          </w:p>
        </w:tc>
        <w:tc>
          <w:tcPr>
            <w:tcW w:type="dxa" w:w="1361"/>
            <w:vAlign w:val="center"/>
          </w:tcPr>
          <w:p>
            <w:pPr>
              <w:spacing w:after="0"/>
              <w:jc w:val="center"/>
            </w:pPr>
            <w:r>
              <w:rPr>
                <w:rFonts w:ascii="游ゴシック" w:hAnsi="游ゴシック" w:eastAsia="游ゴシック"/>
                <w:b w:val="0"/>
                <w:sz w:val="18"/>
              </w:rPr>
              <w:t>81.6</w:t>
            </w:r>
          </w:p>
        </w:tc>
        <w:tc>
          <w:tcPr>
            <w:tcW w:type="dxa" w:w="1247"/>
            <w:vAlign w:val="center"/>
          </w:tcPr>
          <w:p>
            <w:pPr>
              <w:spacing w:after="0"/>
              <w:jc w:val="center"/>
            </w:pPr>
            <w:r>
              <w:rPr>
                <w:rFonts w:ascii="游ゴシック" w:hAnsi="游ゴシック" w:eastAsia="游ゴシック"/>
                <w:b w:val="0"/>
                <w:sz w:val="18"/>
              </w:rPr>
              <w:t>-6.6</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特定施設</w:t>
            </w:r>
          </w:p>
        </w:tc>
        <w:tc>
          <w:tcPr>
            <w:tcW w:type="dxa" w:w="1247"/>
            <w:shd w:val="clear" w:color="auto" w:fill="F2F5FA"/>
            <w:vAlign w:val="center"/>
          </w:tcPr>
          <w:p>
            <w:pPr>
              <w:spacing w:after="0"/>
              <w:jc w:val="center"/>
            </w:pPr>
            <w:r>
              <w:rPr>
                <w:rFonts w:ascii="游ゴシック" w:hAnsi="游ゴシック" w:eastAsia="游ゴシック"/>
                <w:b w:val="0"/>
                <w:sz w:val="18"/>
              </w:rPr>
              <w:t>57</w:t>
            </w:r>
          </w:p>
        </w:tc>
        <w:tc>
          <w:tcPr>
            <w:tcW w:type="dxa" w:w="1361"/>
            <w:shd w:val="clear" w:color="auto" w:fill="F2F5FA"/>
            <w:vAlign w:val="center"/>
          </w:tcPr>
          <w:p>
            <w:pPr>
              <w:spacing w:after="0"/>
              <w:jc w:val="center"/>
            </w:pPr>
            <w:r>
              <w:rPr>
                <w:rFonts w:ascii="游ゴシック" w:hAnsi="游ゴシック" w:eastAsia="游ゴシック"/>
                <w:b w:val="0"/>
                <w:sz w:val="18"/>
              </w:rPr>
              <w:t>61.5</w:t>
            </w:r>
          </w:p>
        </w:tc>
        <w:tc>
          <w:tcPr>
            <w:tcW w:type="dxa" w:w="1247"/>
            <w:shd w:val="clear" w:color="auto" w:fill="F2F5FA"/>
            <w:vAlign w:val="center"/>
          </w:tcPr>
          <w:p>
            <w:pPr>
              <w:spacing w:after="0"/>
              <w:jc w:val="center"/>
            </w:pPr>
            <w:r>
              <w:rPr>
                <w:rFonts w:ascii="游ゴシック" w:hAnsi="游ゴシック" w:eastAsia="游ゴシック"/>
                <w:b w:val="0"/>
                <w:sz w:val="18"/>
              </w:rPr>
              <w:t>-4.5</w:t>
            </w:r>
          </w:p>
        </w:tc>
        <w:tc>
          <w:tcPr>
            <w:tcW w:type="dxa" w:w="3969"/>
            <w:shd w:val="clear" w:color="auto" w:fill="F2F5FA"/>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spacing w:after="0"/>
            </w:pPr>
            <w:r>
              <w:rPr>
                <w:rFonts w:ascii="游ゴシック" w:hAnsi="游ゴシック" w:eastAsia="游ゴシック"/>
                <w:b/>
                <w:sz w:val="18"/>
              </w:rPr>
              <w:t>特養・地域密着型特養</w:t>
            </w:r>
          </w:p>
        </w:tc>
        <w:tc>
          <w:tcPr>
            <w:tcW w:type="dxa" w:w="1247"/>
            <w:vAlign w:val="center"/>
          </w:tcPr>
          <w:p>
            <w:pPr>
              <w:spacing w:after="0"/>
              <w:jc w:val="center"/>
            </w:pPr>
            <w:r>
              <w:rPr>
                <w:rFonts w:ascii="游ゴシック" w:hAnsi="游ゴシック" w:eastAsia="游ゴシック"/>
                <w:b w:val="0"/>
                <w:sz w:val="18"/>
              </w:rPr>
              <w:t>146</w:t>
            </w:r>
          </w:p>
        </w:tc>
        <w:tc>
          <w:tcPr>
            <w:tcW w:type="dxa" w:w="1361"/>
            <w:vAlign w:val="center"/>
          </w:tcPr>
          <w:p>
            <w:pPr>
              <w:spacing w:after="0"/>
              <w:jc w:val="center"/>
            </w:pPr>
            <w:r>
              <w:rPr>
                <w:rFonts w:ascii="游ゴシック" w:hAnsi="游ゴシック" w:eastAsia="游ゴシック"/>
                <w:b w:val="0"/>
                <w:sz w:val="18"/>
              </w:rPr>
              <w:t>197.5</w:t>
            </w:r>
          </w:p>
        </w:tc>
        <w:tc>
          <w:tcPr>
            <w:tcW w:type="dxa" w:w="1247"/>
            <w:vAlign w:val="center"/>
          </w:tcPr>
          <w:p>
            <w:pPr>
              <w:spacing w:after="0"/>
              <w:jc w:val="center"/>
            </w:pPr>
            <w:r>
              <w:rPr>
                <w:rFonts w:ascii="游ゴシック" w:hAnsi="游ゴシック" w:eastAsia="游ゴシック"/>
                <w:b w:val="0"/>
                <w:sz w:val="18"/>
              </w:rPr>
              <w:t>-51.5</w:t>
            </w:r>
          </w:p>
        </w:tc>
        <w:tc>
          <w:tcPr>
            <w:tcW w:type="dxa" w:w="3969"/>
            <w:vAlign w:val="center"/>
          </w:tcPr>
          <w:p>
            <w:pPr>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val="0"/>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spacing w:after="0"/>
            </w:pPr>
            <w:r>
              <w:rPr>
                <w:rFonts w:ascii="游ゴシック" w:hAnsi="游ゴシック" w:eastAsia="游ゴシック"/>
                <w:b/>
                <w:sz w:val="18"/>
              </w:rPr>
              <w:t>施設サービス</w:t>
            </w:r>
          </w:p>
        </w:tc>
        <w:tc>
          <w:tcPr>
            <w:tcW w:type="dxa" w:w="1814"/>
            <w:vAlign w:val="center"/>
          </w:tcPr>
          <w:p>
            <w:pPr>
              <w:spacing w:after="0"/>
              <w:jc w:val="center"/>
            </w:pPr>
            <w:r>
              <w:rPr>
                <w:rFonts w:ascii="游ゴシック" w:hAnsi="游ゴシック" w:eastAsia="游ゴシック"/>
                <w:b w:val="0"/>
                <w:sz w:val="18"/>
              </w:rPr>
              <w:t>337.1</w:t>
            </w:r>
          </w:p>
        </w:tc>
        <w:tc>
          <w:tcPr>
            <w:tcW w:type="dxa" w:w="1928"/>
            <w:vAlign w:val="center"/>
          </w:tcPr>
          <w:p>
            <w:pPr>
              <w:spacing w:after="0"/>
              <w:jc w:val="center"/>
            </w:pPr>
            <w:r>
              <w:rPr>
                <w:rFonts w:ascii="游ゴシック" w:hAnsi="游ゴシック" w:eastAsia="游ゴシック"/>
                <w:b w:val="0"/>
                <w:sz w:val="18"/>
              </w:rPr>
              <w:t>352.3</w:t>
            </w:r>
          </w:p>
        </w:tc>
        <w:tc>
          <w:tcPr>
            <w:tcW w:type="dxa" w:w="1361"/>
            <w:vAlign w:val="center"/>
          </w:tcPr>
          <w:p>
            <w:pPr>
              <w:spacing w:after="0"/>
              <w:jc w:val="center"/>
            </w:pPr>
            <w:r>
              <w:rPr>
                <w:rFonts w:ascii="游ゴシック" w:hAnsi="游ゴシック" w:eastAsia="游ゴシック"/>
                <w:b w:val="0"/>
                <w:sz w:val="18"/>
              </w:rPr>
              <w:t>462</w:t>
            </w:r>
          </w:p>
        </w:tc>
        <w:tc>
          <w:tcPr>
            <w:tcW w:type="dxa" w:w="1701"/>
            <w:vAlign w:val="center"/>
          </w:tcPr>
          <w:p>
            <w:pPr>
              <w:spacing w:after="0"/>
              <w:jc w:val="center"/>
            </w:pPr>
            <w:r>
              <w:rPr>
                <w:rFonts w:ascii="游ゴシック" w:hAnsi="游ゴシック" w:eastAsia="游ゴシック"/>
                <w:b w:val="0"/>
                <w:sz w:val="18"/>
              </w:rPr>
              <w:t>76.3％</w:t>
            </w:r>
          </w:p>
        </w:tc>
      </w:tr>
      <w:tr>
        <w:trPr>
          <w:cantSplit/>
        </w:trPr>
        <w:tc>
          <w:tcPr>
            <w:tcW w:type="dxa" w:w="1928"/>
            <w:shd w:val="clear" w:color="auto" w:fill="F2F5FA"/>
            <w:vAlign w:val="center"/>
          </w:tcPr>
          <w:p>
            <w:pPr>
              <w:spacing w:after="0"/>
            </w:pPr>
            <w:r>
              <w:rPr>
                <w:rFonts w:ascii="游ゴシック" w:hAnsi="游ゴシック" w:eastAsia="游ゴシック"/>
                <w:b/>
                <w:sz w:val="18"/>
              </w:rPr>
              <w:t>居住系サービス</w:t>
            </w:r>
          </w:p>
        </w:tc>
        <w:tc>
          <w:tcPr>
            <w:tcW w:type="dxa" w:w="1814"/>
            <w:shd w:val="clear" w:color="auto" w:fill="F2F5FA"/>
            <w:vAlign w:val="center"/>
          </w:tcPr>
          <w:p>
            <w:pPr>
              <w:spacing w:after="0"/>
              <w:jc w:val="center"/>
            </w:pPr>
            <w:r>
              <w:rPr>
                <w:rFonts w:ascii="游ゴシック" w:hAnsi="游ゴシック" w:eastAsia="游ゴシック"/>
                <w:b w:val="0"/>
                <w:sz w:val="18"/>
              </w:rPr>
              <w:t>143.1</w:t>
            </w:r>
          </w:p>
        </w:tc>
        <w:tc>
          <w:tcPr>
            <w:tcW w:type="dxa" w:w="1928"/>
            <w:shd w:val="clear" w:color="auto" w:fill="F2F5FA"/>
            <w:vAlign w:val="center"/>
          </w:tcPr>
          <w:p>
            <w:pPr>
              <w:spacing w:after="0"/>
              <w:jc w:val="center"/>
            </w:pPr>
            <w:r>
              <w:rPr>
                <w:rFonts w:ascii="游ゴシック" w:hAnsi="游ゴシック" w:eastAsia="游ゴシック"/>
                <w:b w:val="0"/>
                <w:sz w:val="18"/>
              </w:rPr>
              <w:t>149.4</w:t>
            </w:r>
          </w:p>
        </w:tc>
        <w:tc>
          <w:tcPr>
            <w:tcW w:type="dxa" w:w="1361"/>
            <w:shd w:val="clear" w:color="auto" w:fill="F2F5FA"/>
            <w:vAlign w:val="center"/>
          </w:tcPr>
          <w:p>
            <w:pPr>
              <w:spacing w:after="0"/>
              <w:jc w:val="center"/>
            </w:pPr>
            <w:r>
              <w:rPr>
                <w:rFonts w:ascii="游ゴシック" w:hAnsi="游ゴシック" w:eastAsia="游ゴシック"/>
                <w:b w:val="0"/>
                <w:sz w:val="18"/>
              </w:rPr>
              <w:t>255</w:t>
            </w:r>
          </w:p>
        </w:tc>
        <w:tc>
          <w:tcPr>
            <w:tcW w:type="dxa" w:w="1701"/>
            <w:shd w:val="clear" w:color="auto" w:fill="F2F5FA"/>
            <w:vAlign w:val="center"/>
          </w:tcPr>
          <w:p>
            <w:pPr>
              <w:spacing w:after="0"/>
              <w:jc w:val="center"/>
            </w:pPr>
            <w:r>
              <w:rPr>
                <w:rFonts w:ascii="游ゴシック" w:hAnsi="游ゴシック" w:eastAsia="游ゴシック"/>
                <w:b w:val="0"/>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val="0"/>
                <w:sz w:val="18"/>
              </w:rPr>
              <w:t>70.0％</w:t>
            </w:r>
          </w:p>
        </w:tc>
      </w:tr>
    </w:tbl>
    <w:p>
      <w:pPr>
        <w:spacing w:after="80"/>
      </w:pPr>
      <w:r>
        <w:rPr>
          <w:rFonts w:ascii="游ゴシック" w:hAnsi="游ゴシック" w:eastAsia="游ゴシック"/>
          <w:b/>
          <w:sz w:val="21"/>
        </w:rPr>
        <w:t>合計では定員に収まりますが、種別ごとに見ると様子が違います。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特定施設は区域内ではほぼ満室です</w:t>
      </w:r>
      <w:r>
        <w:rPr>
          <w:rFonts w:ascii="游ゴシック" w:hAnsi="游ゴシック" w:eastAsia="游ゴシック"/>
          <w:b w:val="0"/>
          <w:sz w:val="21"/>
        </w:rPr>
        <w:t>（定員156人に対し入居者154人・98.7％。所見20）。一方、当広域連合の被保険者の受給は令和7年度で61.5人／月であり、定員の39.4％にとどまります。</w:t>
      </w:r>
      <w:r>
        <w:rPr>
          <w:rFonts w:ascii="游ゴシック" w:hAnsi="游ゴシック" w:eastAsia="游ゴシック"/>
          <w:b/>
          <w:sz w:val="21"/>
        </w:rPr>
        <w:t>区域内の満室と、当広域連合の被保険者にとっての充足は別のことです。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spacing w:after="0"/>
              <w:jc w:val="center"/>
            </w:pPr>
            <w:r>
              <w:rPr>
                <w:rFonts w:ascii="游ゴシック" w:hAnsi="游ゴシック" w:eastAsia="游ゴシック"/>
                <w:b/>
                <w:color w:val="FFFFFF"/>
                <w:sz w:val="18"/>
              </w:rPr>
              <w:t>見方</w:t>
            </w:r>
          </w:p>
        </w:tc>
      </w:tr>
      <w:tr>
        <w:trPr>
          <w:cantSplit/>
        </w:trPr>
        <w:tc>
          <w:tcPr>
            <w:tcW w:type="dxa" w:w="2041"/>
            <w:vAlign w:val="center"/>
          </w:tcPr>
          <w:p>
            <w:pPr>
              <w:spacing w:after="0"/>
            </w:pPr>
            <w:r>
              <w:rPr>
                <w:rFonts w:ascii="游ゴシック" w:hAnsi="游ゴシック" w:eastAsia="游ゴシック"/>
                <w:b/>
                <w:sz w:val="18"/>
              </w:rPr>
              <w:t>在宅サービス</w:t>
            </w:r>
          </w:p>
        </w:tc>
        <w:tc>
          <w:tcPr>
            <w:tcW w:type="dxa" w:w="1247"/>
            <w:vAlign w:val="center"/>
          </w:tcPr>
          <w:p>
            <w:pPr>
              <w:spacing w:after="0"/>
              <w:jc w:val="center"/>
            </w:pPr>
            <w:r>
              <w:rPr>
                <w:rFonts w:ascii="游ゴシック" w:hAnsi="游ゴシック" w:eastAsia="游ゴシック"/>
                <w:b w:val="0"/>
                <w:sz w:val="18"/>
              </w:rPr>
              <w:t>1,016人</w:t>
            </w:r>
          </w:p>
        </w:tc>
        <w:tc>
          <w:tcPr>
            <w:tcW w:type="dxa" w:w="1701"/>
            <w:vAlign w:val="center"/>
          </w:tcPr>
          <w:p>
            <w:pPr>
              <w:spacing w:after="0"/>
              <w:jc w:val="center"/>
            </w:pPr>
            <w:r>
              <w:rPr>
                <w:rFonts w:ascii="游ゴシック" w:hAnsi="游ゴシック" w:eastAsia="游ゴシック"/>
                <w:b w:val="0"/>
                <w:sz w:val="18"/>
              </w:rPr>
              <w:t>51.2％</w:t>
            </w:r>
          </w:p>
        </w:tc>
        <w:tc>
          <w:tcPr>
            <w:tcW w:type="dxa" w:w="4649"/>
            <w:vAlign w:val="center"/>
          </w:tcPr>
          <w:p>
            <w:pPr>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spacing w:after="0"/>
            </w:pPr>
            <w:r>
              <w:rPr>
                <w:rFonts w:ascii="游ゴシック" w:hAnsi="游ゴシック" w:eastAsia="游ゴシック"/>
                <w:b/>
                <w:sz w:val="18"/>
              </w:rPr>
              <w:t>居住系サービス</w:t>
            </w:r>
          </w:p>
        </w:tc>
        <w:tc>
          <w:tcPr>
            <w:tcW w:type="dxa" w:w="1247"/>
            <w:shd w:val="clear" w:color="auto" w:fill="F2F5FA"/>
            <w:vAlign w:val="center"/>
          </w:tcPr>
          <w:p>
            <w:pPr>
              <w:spacing w:after="0"/>
              <w:jc w:val="center"/>
            </w:pPr>
            <w:r>
              <w:rPr>
                <w:rFonts w:ascii="游ゴシック" w:hAnsi="游ゴシック" w:eastAsia="游ゴシック"/>
                <w:b w:val="0"/>
                <w:sz w:val="18"/>
              </w:rPr>
              <w:t>145人</w:t>
            </w:r>
          </w:p>
        </w:tc>
        <w:tc>
          <w:tcPr>
            <w:tcW w:type="dxa" w:w="1701"/>
            <w:shd w:val="clear" w:color="auto" w:fill="F2F5FA"/>
            <w:vAlign w:val="center"/>
          </w:tcPr>
          <w:p>
            <w:pPr>
              <w:spacing w:after="0"/>
              <w:jc w:val="center"/>
            </w:pPr>
            <w:r>
              <w:rPr>
                <w:rFonts w:ascii="游ゴシック" w:hAnsi="游ゴシック" w:eastAsia="游ゴシック"/>
                <w:b w:val="0"/>
                <w:sz w:val="18"/>
              </w:rPr>
              <w:t>7.3％</w:t>
            </w:r>
          </w:p>
        </w:tc>
        <w:tc>
          <w:tcPr>
            <w:tcW w:type="dxa" w:w="4649"/>
            <w:shd w:val="clear" w:color="auto" w:fill="F2F5FA"/>
            <w:vAlign w:val="center"/>
          </w:tcPr>
          <w:p>
            <w:pPr>
              <w:spacing w:after="0"/>
            </w:pPr>
            <w:r>
              <w:rPr>
                <w:rFonts w:ascii="游ゴシック" w:hAnsi="游ゴシック" w:eastAsia="游ゴシック"/>
                <w:b w:val="0"/>
                <w:sz w:val="18"/>
              </w:rPr>
              <w:t>グループホーム・特定施設</w:t>
            </w:r>
          </w:p>
        </w:tc>
      </w:tr>
      <w:tr>
        <w:trPr>
          <w:cantSplit/>
        </w:trPr>
        <w:tc>
          <w:tcPr>
            <w:tcW w:type="dxa" w:w="2041"/>
            <w:vAlign w:val="center"/>
          </w:tcPr>
          <w:p>
            <w:pPr>
              <w:spacing w:after="0"/>
            </w:pPr>
            <w:r>
              <w:rPr>
                <w:rFonts w:ascii="游ゴシック" w:hAnsi="游ゴシック" w:eastAsia="游ゴシック"/>
                <w:b/>
                <w:sz w:val="18"/>
              </w:rPr>
              <w:t>施設サービス</w:t>
            </w:r>
          </w:p>
        </w:tc>
        <w:tc>
          <w:tcPr>
            <w:tcW w:type="dxa" w:w="1247"/>
            <w:vAlign w:val="center"/>
          </w:tcPr>
          <w:p>
            <w:pPr>
              <w:spacing w:after="0"/>
              <w:jc w:val="center"/>
            </w:pPr>
            <w:r>
              <w:rPr>
                <w:rFonts w:ascii="游ゴシック" w:hAnsi="游ゴシック" w:eastAsia="游ゴシック"/>
                <w:b w:val="0"/>
                <w:sz w:val="18"/>
              </w:rPr>
              <w:t>337人</w:t>
            </w:r>
          </w:p>
        </w:tc>
        <w:tc>
          <w:tcPr>
            <w:tcW w:type="dxa" w:w="1701"/>
            <w:vAlign w:val="center"/>
          </w:tcPr>
          <w:p>
            <w:pPr>
              <w:spacing w:after="0"/>
              <w:jc w:val="center"/>
            </w:pPr>
            <w:r>
              <w:rPr>
                <w:rFonts w:ascii="游ゴシック" w:hAnsi="游ゴシック" w:eastAsia="游ゴシック"/>
                <w:b w:val="0"/>
                <w:sz w:val="18"/>
              </w:rPr>
              <w:t>17.0％</w:t>
            </w:r>
          </w:p>
        </w:tc>
        <w:tc>
          <w:tcPr>
            <w:tcW w:type="dxa" w:w="4649"/>
            <w:vAlign w:val="center"/>
          </w:tcPr>
          <w:p>
            <w:pPr>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val="0"/>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spacing w:after="0"/>
            </w:pPr>
            <w:r>
              <w:rPr>
                <w:rFonts w:ascii="游ゴシック" w:hAnsi="游ゴシック" w:eastAsia="游ゴシック"/>
                <w:b w:val="0"/>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spacing w:after="0"/>
            </w:pPr>
            <w:r>
              <w:rPr>
                <w:rFonts w:ascii="游ゴシック" w:hAnsi="游ゴシック" w:eastAsia="游ゴシック"/>
                <w:b w:val="0"/>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spacing w:after="0"/>
            </w:pPr>
            <w:r>
              <w:rPr>
                <w:rFonts w:ascii="游ゴシック" w:hAnsi="游ゴシック" w:eastAsia="游ゴシック"/>
                <w:b w:val="0"/>
                <w:sz w:val="18"/>
              </w:rPr>
              <w:t>第6章第5節（医療と介護の連携）の根拠とする</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spacing w:after="0"/>
            </w:pPr>
            <w:r>
              <w:rPr>
                <w:rFonts w:ascii="游ゴシック" w:hAnsi="游ゴシック" w:eastAsia="游ゴシック"/>
                <w:b w:val="0"/>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val="0"/>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spacing w:after="0"/>
              <w:jc w:val="center"/>
            </w:pPr>
            <w:r>
              <w:rPr>
                <w:rFonts w:ascii="游ゴシック" w:hAnsi="游ゴシック" w:eastAsia="游ゴシック"/>
                <w:b/>
                <w:color w:val="FFFFFF"/>
                <w:sz w:val="18"/>
              </w:rPr>
              <w:t>状態</w:t>
            </w:r>
          </w:p>
        </w:tc>
      </w:tr>
      <w:tr>
        <w:trPr>
          <w:cantSplit/>
        </w:trPr>
        <w:tc>
          <w:tcPr>
            <w:tcW w:type="dxa" w:w="1814"/>
            <w:vAlign w:val="center"/>
          </w:tcPr>
          <w:p>
            <w:pPr>
              <w:spacing w:after="0"/>
            </w:pPr>
            <w:r>
              <w:rPr>
                <w:rFonts w:ascii="游ゴシック" w:hAnsi="游ゴシック" w:eastAsia="游ゴシック"/>
                <w:b/>
                <w:sz w:val="18"/>
              </w:rPr>
              <w:t>移動と外出の確保（生活支援）</w:t>
            </w:r>
          </w:p>
        </w:tc>
        <w:tc>
          <w:tcPr>
            <w:tcW w:type="dxa" w:w="680"/>
            <w:vAlign w:val="center"/>
          </w:tcPr>
          <w:p>
            <w:pPr>
              <w:spacing w:after="0"/>
              <w:jc w:val="center"/>
            </w:pPr>
            <w:r>
              <w:rPr>
                <w:rFonts w:ascii="游ゴシック" w:hAnsi="游ゴシック" w:eastAsia="游ゴシック"/>
                <w:b w:val="0"/>
                <w:sz w:val="18"/>
              </w:rPr>
              <w:t>No.7</w:t>
            </w:r>
          </w:p>
        </w:tc>
        <w:tc>
          <w:tcPr>
            <w:tcW w:type="dxa" w:w="3628"/>
            <w:vAlign w:val="center"/>
          </w:tcPr>
          <w:p>
            <w:pPr>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spacing w:after="0"/>
            </w:pPr>
            <w:r>
              <w:rPr>
                <w:rFonts w:ascii="游ゴシック" w:hAnsi="游ゴシック" w:eastAsia="游ゴシック"/>
                <w:b w:val="0"/>
                <w:sz w:val="18"/>
              </w:rPr>
              <w:t>第2章第5節・第5章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spacing w:after="0"/>
              <w:jc w:val="center"/>
            </w:pPr>
            <w:r>
              <w:rPr>
                <w:rFonts w:ascii="游ゴシック" w:hAnsi="游ゴシック" w:eastAsia="游ゴシック"/>
                <w:b w:val="0"/>
                <w:sz w:val="18"/>
              </w:rPr>
              <w:t>No.9</w:t>
            </w:r>
          </w:p>
        </w:tc>
        <w:tc>
          <w:tcPr>
            <w:tcW w:type="dxa" w:w="3628"/>
            <w:shd w:val="clear" w:color="auto" w:fill="F2F5FA"/>
            <w:vAlign w:val="center"/>
          </w:tcPr>
          <w:p>
            <w:pPr>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除雪（介護保険の給付対象外）</w:t>
            </w:r>
          </w:p>
        </w:tc>
        <w:tc>
          <w:tcPr>
            <w:tcW w:type="dxa" w:w="680"/>
            <w:vAlign w:val="center"/>
          </w:tcPr>
          <w:p>
            <w:pPr>
              <w:spacing w:after="0"/>
              <w:jc w:val="center"/>
            </w:pPr>
            <w:r>
              <w:rPr>
                <w:rFonts w:ascii="游ゴシック" w:hAnsi="游ゴシック" w:eastAsia="游ゴシック"/>
                <w:b w:val="0"/>
                <w:sz w:val="18"/>
              </w:rPr>
              <w:t>No.8</w:t>
            </w:r>
          </w:p>
        </w:tc>
        <w:tc>
          <w:tcPr>
            <w:tcW w:type="dxa" w:w="3628"/>
            <w:vAlign w:val="center"/>
          </w:tcPr>
          <w:p>
            <w:pPr>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spacing w:after="0"/>
            </w:pPr>
            <w:r>
              <w:rPr>
                <w:rFonts w:ascii="游ゴシック" w:hAnsi="游ゴシック" w:eastAsia="游ゴシック"/>
                <w:b w:val="0"/>
                <w:sz w:val="18"/>
              </w:rPr>
              <w:t>第2章第4節・第5章 基本目標2</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24時間対応サービスの不在</w:t>
            </w:r>
          </w:p>
        </w:tc>
        <w:tc>
          <w:tcPr>
            <w:tcW w:type="dxa" w:w="680"/>
            <w:shd w:val="clear" w:color="auto" w:fill="F2F5FA"/>
            <w:vAlign w:val="center"/>
          </w:tcPr>
          <w:p>
            <w:pPr>
              <w:spacing w:after="0"/>
              <w:jc w:val="center"/>
            </w:pPr>
            <w:r>
              <w:rPr>
                <w:rFonts w:ascii="游ゴシック" w:hAnsi="游ゴシック" w:eastAsia="游ゴシック"/>
                <w:b w:val="0"/>
                <w:sz w:val="18"/>
              </w:rPr>
              <w:t>No.3</w:t>
            </w:r>
          </w:p>
        </w:tc>
        <w:tc>
          <w:tcPr>
            <w:tcW w:type="dxa" w:w="3628"/>
            <w:shd w:val="clear" w:color="auto" w:fill="F2F5FA"/>
            <w:vAlign w:val="center"/>
          </w:tcPr>
          <w:p>
            <w:pPr>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spacing w:after="0"/>
            </w:pPr>
            <w:r>
              <w:rPr>
                <w:rFonts w:ascii="游ゴシック" w:hAnsi="游ゴシック" w:eastAsia="游ゴシック"/>
                <w:b w:val="0"/>
                <w:sz w:val="18"/>
              </w:rPr>
              <w:t>第6章第4節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医療機関からの施設入所という経路</w:t>
            </w:r>
          </w:p>
        </w:tc>
        <w:tc>
          <w:tcPr>
            <w:tcW w:type="dxa" w:w="680"/>
            <w:vAlign w:val="center"/>
          </w:tcPr>
          <w:p>
            <w:pPr>
              <w:spacing w:after="0"/>
              <w:jc w:val="center"/>
            </w:pPr>
            <w:r>
              <w:rPr>
                <w:rFonts w:ascii="游ゴシック" w:hAnsi="游ゴシック" w:eastAsia="游ゴシック"/>
                <w:b w:val="0"/>
                <w:sz w:val="18"/>
              </w:rPr>
              <w:t>No.1</w:t>
            </w:r>
          </w:p>
        </w:tc>
        <w:tc>
          <w:tcPr>
            <w:tcW w:type="dxa" w:w="3628"/>
            <w:vAlign w:val="center"/>
          </w:tcPr>
          <w:p>
            <w:pPr>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spacing w:after="0"/>
            </w:pPr>
            <w:r>
              <w:rPr>
                <w:rFonts w:ascii="游ゴシック" w:hAnsi="游ゴシック" w:eastAsia="游ゴシック"/>
                <w:b w:val="0"/>
                <w:sz w:val="18"/>
              </w:rPr>
              <w:t>第2章第3節・第6章第5節</w:t>
            </w:r>
          </w:p>
        </w:tc>
        <w:tc>
          <w:tcPr>
            <w:tcW w:type="dxa" w:w="907"/>
            <w:vAlign w:val="center"/>
          </w:tcPr>
          <w:p>
            <w:pPr>
              <w:spacing w:after="0"/>
              <w:jc w:val="center"/>
            </w:pPr>
            <w:r>
              <w:rPr>
                <w:rFonts w:ascii="游ゴシック" w:hAnsi="游ゴシック" w:eastAsia="游ゴシック"/>
                <w:b w:val="0"/>
                <w:sz w:val="18"/>
              </w:rPr>
              <w:t>反映済</w:t>
            </w:r>
          </w:p>
        </w:tc>
      </w:tr>
      <w:tr>
        <w:trPr>
          <w:cantSplit/>
        </w:trPr>
        <w:tc>
          <w:tcPr>
            <w:tcW w:type="dxa" w:w="1814"/>
            <w:shd w:val="clear" w:color="auto" w:fill="F2F5FA"/>
            <w:vAlign w:val="center"/>
          </w:tcPr>
          <w:p>
            <w:pPr>
              <w:spacing w:after="0"/>
            </w:pPr>
            <w:r>
              <w:rPr>
                <w:rFonts w:ascii="游ゴシック" w:hAnsi="游ゴシック" w:eastAsia="游ゴシック"/>
                <w:b/>
                <w:sz w:val="18"/>
              </w:rPr>
              <w:t>介護人材の把握範囲</w:t>
            </w:r>
          </w:p>
        </w:tc>
        <w:tc>
          <w:tcPr>
            <w:tcW w:type="dxa" w:w="680"/>
            <w:shd w:val="clear" w:color="auto" w:fill="F2F5FA"/>
            <w:vAlign w:val="center"/>
          </w:tcPr>
          <w:p>
            <w:pPr>
              <w:spacing w:after="0"/>
              <w:jc w:val="center"/>
            </w:pPr>
            <w:r>
              <w:rPr>
                <w:rFonts w:ascii="游ゴシック" w:hAnsi="游ゴシック" w:eastAsia="游ゴシック"/>
                <w:b w:val="0"/>
                <w:sz w:val="18"/>
              </w:rPr>
              <w:t>No.6</w:t>
            </w:r>
          </w:p>
        </w:tc>
        <w:tc>
          <w:tcPr>
            <w:tcW w:type="dxa" w:w="3628"/>
            <w:shd w:val="clear" w:color="auto" w:fill="F2F5FA"/>
            <w:vAlign w:val="center"/>
          </w:tcPr>
          <w:p>
            <w:pPr>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spacing w:after="0"/>
            </w:pPr>
            <w:r>
              <w:rPr>
                <w:rFonts w:ascii="游ゴシック" w:hAnsi="游ゴシック" w:eastAsia="游ゴシック"/>
                <w:b w:val="0"/>
                <w:sz w:val="18"/>
              </w:rPr>
              <w:t>第2章第6節</w:t>
            </w:r>
          </w:p>
        </w:tc>
        <w:tc>
          <w:tcPr>
            <w:tcW w:type="dxa" w:w="907"/>
            <w:shd w:val="clear" w:color="auto" w:fill="F2F5FA"/>
            <w:vAlign w:val="center"/>
          </w:tcPr>
          <w:p>
            <w:pPr>
              <w:spacing w:after="0"/>
              <w:jc w:val="center"/>
            </w:pPr>
            <w:r>
              <w:rPr>
                <w:rFonts w:ascii="游ゴシック" w:hAnsi="游ゴシック" w:eastAsia="游ゴシック"/>
                <w:b w:val="0"/>
                <w:sz w:val="18"/>
              </w:rPr>
              <w:t>反映済</w:t>
            </w:r>
          </w:p>
        </w:tc>
      </w:tr>
      <w:tr>
        <w:trPr>
          <w:cantSplit/>
        </w:trPr>
        <w:tc>
          <w:tcPr>
            <w:tcW w:type="dxa" w:w="1814"/>
            <w:vAlign w:val="center"/>
          </w:tcPr>
          <w:p>
            <w:pPr>
              <w:spacing w:after="0"/>
            </w:pPr>
            <w:r>
              <w:rPr>
                <w:rFonts w:ascii="游ゴシック" w:hAnsi="游ゴシック" w:eastAsia="游ゴシック"/>
                <w:b/>
                <w:sz w:val="18"/>
              </w:rPr>
              <w:t>介護人材の定着</w:t>
            </w:r>
          </w:p>
        </w:tc>
        <w:tc>
          <w:tcPr>
            <w:tcW w:type="dxa" w:w="680"/>
            <w:vAlign w:val="center"/>
          </w:tcPr>
          <w:p>
            <w:pPr>
              <w:spacing w:after="0"/>
              <w:jc w:val="center"/>
            </w:pPr>
            <w:r>
              <w:rPr>
                <w:rFonts w:ascii="游ゴシック" w:hAnsi="游ゴシック" w:eastAsia="游ゴシック"/>
                <w:b w:val="0"/>
                <w:sz w:val="18"/>
              </w:rPr>
              <w:t>No.11</w:t>
            </w:r>
          </w:p>
        </w:tc>
        <w:tc>
          <w:tcPr>
            <w:tcW w:type="dxa" w:w="3628"/>
            <w:vAlign w:val="center"/>
          </w:tcPr>
          <w:p>
            <w:pPr>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spacing w:after="0"/>
            </w:pPr>
            <w:r>
              <w:rPr>
                <w:rFonts w:ascii="游ゴシック" w:hAnsi="游ゴシック" w:eastAsia="游ゴシック"/>
                <w:b w:val="0"/>
                <w:sz w:val="18"/>
              </w:rPr>
              <w:t>第2章第6節・第5章 基本目標4</w:t>
            </w:r>
          </w:p>
        </w:tc>
        <w:tc>
          <w:tcPr>
            <w:tcW w:type="dxa" w:w="907"/>
            <w:vAlign w:val="center"/>
          </w:tcPr>
          <w:p>
            <w:pPr>
              <w:spacing w:after="0"/>
              <w:jc w:val="center"/>
            </w:pPr>
            <w:r>
              <w:rPr>
                <w:rFonts w:ascii="游ゴシック" w:hAnsi="游ゴシック" w:eastAsia="游ゴシック"/>
                <w:b w:val="0"/>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利用者票99票のうち在宅生活の維持が困難72人（72.7％）。</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val="0"/>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spacing w:before="28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247"/>
            <w:vAlign w:val="center"/>
          </w:tcPr>
          <w:p>
            <w:pPr>
              <w:spacing w:after="0"/>
              <w:jc w:val="center"/>
            </w:pPr>
            <w:r>
              <w:rPr>
                <w:rFonts w:ascii="游ゴシック" w:hAnsi="游ゴシック" w:eastAsia="游ゴシック"/>
                <w:b/>
                <w:sz w:val="18"/>
              </w:rPr>
              <w:t>反映済</w:t>
            </w:r>
          </w:p>
        </w:tc>
        <w:tc>
          <w:tcPr>
            <w:tcW w:type="dxa" w:w="1134"/>
            <w:vAlign w:val="center"/>
          </w:tcPr>
          <w:p>
            <w:pPr>
              <w:spacing w:after="0"/>
              <w:jc w:val="center"/>
            </w:pPr>
            <w:r>
              <w:rPr>
                <w:rFonts w:ascii="游ゴシック" w:hAnsi="游ゴシック" w:eastAsia="游ゴシック"/>
                <w:b w:val="0"/>
                <w:sz w:val="18"/>
              </w:rPr>
              <w:t>11件</w:t>
            </w:r>
          </w:p>
        </w:tc>
        <w:tc>
          <w:tcPr>
            <w:tcW w:type="dxa" w:w="6236"/>
            <w:vAlign w:val="center"/>
          </w:tcPr>
          <w:p>
            <w:pPr>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spacing w:after="0"/>
              <w:jc w:val="center"/>
            </w:pPr>
            <w:r>
              <w:rPr>
                <w:rFonts w:ascii="游ゴシック" w:hAnsi="游ゴシック" w:eastAsia="游ゴシック"/>
                <w:b/>
                <w:sz w:val="18"/>
              </w:rPr>
              <w:t>着手可</w:t>
            </w:r>
          </w:p>
        </w:tc>
        <w:tc>
          <w:tcPr>
            <w:tcW w:type="dxa" w:w="1134"/>
            <w:shd w:val="clear" w:color="auto" w:fill="F2F5FA"/>
            <w:vAlign w:val="center"/>
          </w:tcPr>
          <w:p>
            <w:pPr>
              <w:spacing w:after="0"/>
              <w:jc w:val="center"/>
            </w:pPr>
            <w:r>
              <w:rPr>
                <w:rFonts w:ascii="游ゴシック" w:hAnsi="游ゴシック" w:eastAsia="游ゴシック"/>
                <w:b w:val="0"/>
                <w:sz w:val="18"/>
              </w:rPr>
              <w:t>0件</w:t>
            </w:r>
          </w:p>
        </w:tc>
        <w:tc>
          <w:tcPr>
            <w:tcW w:type="dxa" w:w="6236"/>
            <w:shd w:val="clear" w:color="auto" w:fill="F2F5FA"/>
            <w:vAlign w:val="center"/>
          </w:tcPr>
          <w:p>
            <w:pPr>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val="0"/>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特定施設は区域内でほぼ満室である（反映先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spacing w:before="28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意味</w:t>
            </w:r>
          </w:p>
        </w:tc>
      </w:tr>
      <w:tr>
        <w:trPr>
          <w:cantSplit/>
        </w:trPr>
        <w:tc>
          <w:tcPr>
            <w:tcW w:type="dxa" w:w="1701"/>
            <w:vAlign w:val="center"/>
          </w:tcPr>
          <w:p>
            <w:pPr>
              <w:spacing w:after="0"/>
              <w:jc w:val="center"/>
            </w:pPr>
            <w:r>
              <w:rPr>
                <w:rFonts w:ascii="游ゴシック" w:hAnsi="游ゴシック" w:eastAsia="游ゴシック"/>
                <w:b/>
                <w:sz w:val="18"/>
              </w:rPr>
              <w:t>必須</w:t>
            </w:r>
          </w:p>
        </w:tc>
        <w:tc>
          <w:tcPr>
            <w:tcW w:type="dxa" w:w="1247"/>
            <w:vAlign w:val="center"/>
          </w:tcPr>
          <w:p>
            <w:pPr>
              <w:spacing w:after="0"/>
              <w:jc w:val="center"/>
            </w:pPr>
            <w:r>
              <w:rPr>
                <w:rFonts w:ascii="游ゴシック" w:hAnsi="游ゴシック" w:eastAsia="游ゴシック"/>
                <w:b w:val="0"/>
                <w:sz w:val="18"/>
              </w:rPr>
              <w:t>11件</w:t>
            </w:r>
          </w:p>
        </w:tc>
        <w:tc>
          <w:tcPr>
            <w:tcW w:type="dxa" w:w="5102"/>
            <w:vAlign w:val="center"/>
          </w:tcPr>
          <w:p>
            <w:pPr>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4件</w:t>
            </w:r>
          </w:p>
        </w:tc>
        <w:tc>
          <w:tcPr>
            <w:tcW w:type="dxa" w:w="5102"/>
            <w:shd w:val="clear" w:color="auto" w:fill="F2F5FA"/>
            <w:vAlign w:val="center"/>
          </w:tcPr>
          <w:p>
            <w:pPr>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公表データにより解消した留保と、大きさを測定できた留保</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701"/>
            <w:vAlign w:val="center"/>
          </w:tcPr>
          <w:p>
            <w:pPr>
              <w:spacing w:after="0"/>
              <w:jc w:val="center"/>
            </w:pPr>
            <w:r>
              <w:rPr>
                <w:rFonts w:ascii="游ゴシック" w:hAnsi="游ゴシック" w:eastAsia="游ゴシック"/>
                <w:b/>
                <w:sz w:val="18"/>
              </w:rPr>
              <w:t>解消</w:t>
            </w:r>
          </w:p>
        </w:tc>
        <w:tc>
          <w:tcPr>
            <w:tcW w:type="dxa" w:w="1247"/>
            <w:vAlign w:val="center"/>
          </w:tcPr>
          <w:p>
            <w:pPr>
              <w:spacing w:after="0"/>
              <w:jc w:val="center"/>
            </w:pPr>
            <w:r>
              <w:rPr>
                <w:rFonts w:ascii="游ゴシック" w:hAnsi="游ゴシック" w:eastAsia="游ゴシック"/>
                <w:b w:val="0"/>
                <w:sz w:val="18"/>
              </w:rPr>
              <w:t>6件</w:t>
            </w:r>
          </w:p>
        </w:tc>
        <w:tc>
          <w:tcPr>
            <w:tcW w:type="dxa" w:w="5102"/>
            <w:vAlign w:val="center"/>
          </w:tcPr>
          <w:p>
            <w:pPr>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測定済み</w:t>
            </w:r>
          </w:p>
        </w:tc>
        <w:tc>
          <w:tcPr>
            <w:tcW w:type="dxa" w:w="1247"/>
            <w:shd w:val="clear" w:color="auto" w:fill="F2F5FA"/>
            <w:vAlign w:val="center"/>
          </w:tcPr>
          <w:p>
            <w:pPr>
              <w:spacing w:after="0"/>
              <w:jc w:val="center"/>
            </w:pPr>
            <w:r>
              <w:rPr>
                <w:rFonts w:ascii="游ゴシック" w:hAnsi="游ゴシック" w:eastAsia="游ゴシック"/>
                <w:b w:val="0"/>
                <w:sz w:val="18"/>
              </w:rPr>
              <w:t>3件</w:t>
            </w:r>
          </w:p>
        </w:tc>
        <w:tc>
          <w:tcPr>
            <w:tcW w:type="dxa" w:w="5102"/>
            <w:shd w:val="clear" w:color="auto" w:fill="F2F5FA"/>
            <w:vAlign w:val="center"/>
          </w:tcPr>
          <w:p>
            <w:pPr>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spacing w:after="0"/>
              <w:jc w:val="center"/>
            </w:pPr>
            <w:r>
              <w:rPr>
                <w:rFonts w:ascii="游ゴシック" w:hAnsi="游ゴシック" w:eastAsia="游ゴシック"/>
                <w:b/>
                <w:sz w:val="18"/>
              </w:rPr>
              <w:t>未解消</w:t>
            </w:r>
          </w:p>
        </w:tc>
        <w:tc>
          <w:tcPr>
            <w:tcW w:type="dxa" w:w="1247"/>
            <w:vAlign w:val="center"/>
          </w:tcPr>
          <w:p>
            <w:pPr>
              <w:spacing w:after="0"/>
              <w:jc w:val="center"/>
            </w:pPr>
            <w:r>
              <w:rPr>
                <w:rFonts w:ascii="游ゴシック" w:hAnsi="游ゴシック" w:eastAsia="游ゴシック"/>
                <w:b w:val="0"/>
                <w:sz w:val="18"/>
              </w:rPr>
              <w:t>2件</w:t>
            </w:r>
          </w:p>
        </w:tc>
        <w:tc>
          <w:tcPr>
            <w:tcW w:type="dxa" w:w="5102"/>
            <w:vAlign w:val="center"/>
          </w:tcPr>
          <w:p>
            <w:pPr>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一部解消</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spacing w:after="0"/>
              <w:jc w:val="center"/>
            </w:pPr>
            <w:r>
              <w:rPr>
                <w:rFonts w:ascii="游ゴシック" w:hAnsi="游ゴシック" w:eastAsia="游ゴシック"/>
                <w:b/>
                <w:sz w:val="18"/>
              </w:rPr>
              <w:t>公表待ち</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spacing w:before="28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spacing w:after="0"/>
            </w:pPr>
            <w:r>
              <w:rPr>
                <w:rFonts w:ascii="游ゴシック" w:hAnsi="游ゴシック" w:eastAsia="游ゴシック"/>
                <w:b/>
                <w:sz w:val="18"/>
              </w:rPr>
              <w:t>No.8</w:t>
            </w:r>
          </w:p>
        </w:tc>
        <w:tc>
          <w:tcPr>
            <w:tcW w:type="dxa" w:w="1928"/>
            <w:vAlign w:val="center"/>
          </w:tcPr>
          <w:p>
            <w:pPr>
              <w:spacing w:after="0"/>
            </w:pPr>
            <w:r>
              <w:rPr>
                <w:rFonts w:ascii="游ゴシック" w:hAnsi="游ゴシック" w:eastAsia="游ゴシック"/>
                <w:b w:val="0"/>
                <w:sz w:val="18"/>
              </w:rPr>
              <w:t>3調査の点検事項の重大6件の取扱い</w:t>
            </w:r>
          </w:p>
        </w:tc>
        <w:tc>
          <w:tcPr>
            <w:tcW w:type="dxa" w:w="3628"/>
            <w:vAlign w:val="center"/>
          </w:tcPr>
          <w:p>
            <w:pPr>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spacing w:after="0"/>
            </w:pPr>
            <w:r>
              <w:rPr>
                <w:rFonts w:ascii="游ゴシック" w:hAnsi="游ゴシック" w:eastAsia="游ゴシック"/>
                <w:b w:val="0"/>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No.9</w:t>
            </w:r>
          </w:p>
        </w:tc>
        <w:tc>
          <w:tcPr>
            <w:tcW w:type="dxa" w:w="1928"/>
            <w:shd w:val="clear" w:color="auto" w:fill="F2F5FA"/>
            <w:vAlign w:val="center"/>
          </w:tcPr>
          <w:p>
            <w:pPr>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spacing w:after="0"/>
            </w:pPr>
            <w:r>
              <w:rPr>
                <w:rFonts w:ascii="游ゴシック" w:hAnsi="游ゴシック" w:eastAsia="游ゴシック"/>
                <w:b w:val="0"/>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val="0"/>
                <w:sz w:val="18"/>
              </w:rPr>
              <w:t>再提供は依頼しない。集計をやり直す必要が生じたときだけ依頼する</w:t>
            </w:r>
          </w:p>
        </w:tc>
      </w:tr>
    </w:tbl>
    <w:p>
      <w:pPr>
        <w:keepNext/>
        <w:spacing w:before="28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2948"/>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4649"/>
            <w:vAlign w:val="center"/>
          </w:tcPr>
          <w:p>
            <w:pPr>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spacing w:after="0"/>
            </w:pPr>
            <w:r>
              <w:rPr>
                <w:rFonts w:ascii="游ゴシック" w:hAnsi="游ゴシック" w:eastAsia="游ゴシック"/>
                <w:b w:val="0"/>
                <w:sz w:val="18"/>
              </w:rPr>
              <w:t>発注者様式</w:t>
            </w:r>
          </w:p>
        </w:tc>
        <w:tc>
          <w:tcPr>
            <w:tcW w:type="dxa" w:w="4649"/>
            <w:shd w:val="clear" w:color="auto" w:fill="F2F5FA"/>
            <w:vAlign w:val="center"/>
          </w:tcPr>
          <w:p>
            <w:pPr>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spacing w:after="0"/>
            </w:pPr>
            <w:r>
              <w:rPr>
                <w:rFonts w:ascii="游ゴシック" w:hAnsi="游ゴシック" w:eastAsia="游ゴシック"/>
                <w:b/>
                <w:sz w:val="18"/>
              </w:rPr>
              <w:t>調査クロス集計・分析</w:t>
            </w:r>
          </w:p>
        </w:tc>
        <w:tc>
          <w:tcPr>
            <w:tcW w:type="dxa" w:w="1361"/>
            <w:vAlign w:val="center"/>
          </w:tcPr>
          <w:p>
            <w:pPr>
              <w:spacing w:after="0"/>
            </w:pPr>
            <w:r>
              <w:rPr>
                <w:rFonts w:ascii="游ゴシック" w:hAnsi="游ゴシック" w:eastAsia="游ゴシック"/>
                <w:b w:val="0"/>
                <w:sz w:val="18"/>
              </w:rPr>
              <w:t>24シート</w:t>
            </w:r>
          </w:p>
        </w:tc>
        <w:tc>
          <w:tcPr>
            <w:tcW w:type="dxa" w:w="4649"/>
            <w:vAlign w:val="center"/>
          </w:tcPr>
          <w:p>
            <w:pPr>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本報告 第6節の測定の記録</w:t>
            </w:r>
          </w:p>
        </w:tc>
      </w:tr>
      <w:tr>
        <w:trPr>
          <w:cantSplit/>
        </w:trPr>
        <w:tc>
          <w:tcPr>
            <w:tcW w:type="dxa" w:w="2948"/>
            <w:vAlign w:val="center"/>
          </w:tcPr>
          <w:p>
            <w:pPr>
              <w:spacing w:after="0"/>
            </w:pPr>
            <w:r>
              <w:rPr>
                <w:rFonts w:ascii="游ゴシック" w:hAnsi="游ゴシック" w:eastAsia="游ゴシック"/>
                <w:b/>
                <w:sz w:val="18"/>
              </w:rPr>
              <w:t>実施済み3調査の受領点検と集計</w:t>
            </w:r>
          </w:p>
        </w:tc>
        <w:tc>
          <w:tcPr>
            <w:tcW w:type="dxa" w:w="1361"/>
            <w:vAlign w:val="center"/>
          </w:tcPr>
          <w:p>
            <w:pPr>
              <w:spacing w:after="0"/>
            </w:pPr>
            <w:r>
              <w:rPr>
                <w:rFonts w:ascii="游ゴシック" w:hAnsi="游ゴシック" w:eastAsia="游ゴシック"/>
                <w:b w:val="0"/>
                <w:sz w:val="18"/>
              </w:rPr>
              <w:t>16シート</w:t>
            </w:r>
          </w:p>
        </w:tc>
        <w:tc>
          <w:tcPr>
            <w:tcW w:type="dxa" w:w="4649"/>
            <w:vAlign w:val="center"/>
          </w:tcPr>
          <w:p>
            <w:pPr>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val="0"/>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本報告についてのお尋ねは、受託者までお願いします。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