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125件（条件付き55件・送付41件・内部保管24件・対象外5件）と計画素案（928段落143表36図）です。ビルドスクリプトは123本あり、うち34本が自らの計算を検算する自己点検を備えています（計521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自己点検を備えたスクリプト（34本・計521件）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build_ninchisho_ronten.py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build_kofukin_torimatome.py</w:t>
            </w:r>
          </w:p>
        </w:tc>
        <w:tc>
          <w:tcPr>
            <w:tcW w:type="dxa" w:w="907"/>
            <w:shd w:val="clear" w:color="auto" w:fill="F2F5FA"/>
            <w:vAlign w:val="center"/>
          </w:tcPr>
          <w:p>
            <w:pPr>
              <w:spacing w:after="0"/>
              <w:jc w:val="center"/>
            </w:pPr>
            <w:r>
              <w:rPr>
                <w:rFonts w:ascii="游ゴシック" w:hAnsi="游ゴシック" w:eastAsia="游ゴシック"/>
                <w:b w:val="0"/>
                <w:sz w:val="16"/>
              </w:rPr>
              <w:t>34件</w:t>
            </w:r>
          </w:p>
        </w:tc>
        <w:tc>
          <w:tcPr>
            <w:tcW w:type="dxa" w:w="3572"/>
            <w:shd w:val="clear" w:color="auto" w:fill="F2F5FA"/>
            <w:vAlign w:val="center"/>
          </w:tcPr>
          <w:p>
            <w:pPr>
              <w:spacing w:after="0"/>
            </w:pPr>
            <w:r>
              <w:rPr>
                <w:rFonts w:ascii="游ゴシック" w:hAnsi="游ゴシック" w:eastAsia="游ゴシック"/>
                <w:b w:val="0"/>
                <w:sz w:val="16"/>
              </w:rPr>
              <w:t>build_soan_kadai.py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build_soan_kisai_taihi.py</w:t>
            </w:r>
          </w:p>
        </w:tc>
        <w:tc>
          <w:tcPr>
            <w:tcW w:type="dxa" w:w="907"/>
            <w:vAlign w:val="center"/>
          </w:tcPr>
          <w:p>
            <w:pPr>
              <w:spacing w:after="0"/>
              <w:jc w:val="center"/>
            </w:pPr>
            <w:r>
              <w:rPr>
                <w:rFonts w:ascii="游ゴシック" w:hAnsi="游ゴシック" w:eastAsia="游ゴシック"/>
                <w:b w:val="0"/>
                <w:sz w:val="16"/>
              </w:rPr>
              <w:t>33件</w:t>
            </w:r>
          </w:p>
        </w:tc>
        <w:tc>
          <w:tcPr>
            <w:tcW w:type="dxa" w:w="3572"/>
            <w:vAlign w:val="center"/>
          </w:tcPr>
          <w:p>
            <w:pPr>
              <w:spacing w:after="0"/>
            </w:pPr>
            <w:r>
              <w:rPr>
                <w:rFonts w:ascii="游ゴシック" w:hAnsi="游ゴシック" w:eastAsia="游ゴシック"/>
                <w:b w:val="0"/>
                <w:sz w:val="16"/>
              </w:rPr>
              <w:t>build_kanri_tanaoroshi.py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build_kisetsu_hosei.py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build_shotoku_dankai.py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build_plan_public.py</w:t>
            </w:r>
          </w:p>
        </w:tc>
        <w:tc>
          <w:tcPr>
            <w:tcW w:type="dxa" w:w="907"/>
            <w:shd w:val="clear" w:color="auto" w:fill="F2F5FA"/>
            <w:vAlign w:val="center"/>
          </w:tcPr>
          <w:p>
            <w:pPr>
              <w:spacing w:after="0"/>
              <w:jc w:val="center"/>
            </w:pPr>
            <w:r>
              <w:rPr>
                <w:rFonts w:ascii="游ゴシック" w:hAnsi="游ゴシック" w:eastAsia="游ゴシック"/>
                <w:b w:val="0"/>
                <w:sz w:val="16"/>
              </w:rPr>
              <w:t>19件</w:t>
            </w:r>
          </w:p>
        </w:tc>
        <w:tc>
          <w:tcPr>
            <w:tcW w:type="dxa" w:w="3572"/>
            <w:shd w:val="clear" w:color="auto" w:fill="F2F5FA"/>
            <w:vAlign w:val="center"/>
          </w:tcPr>
          <w:p>
            <w:pPr>
              <w:spacing w:after="0"/>
            </w:pPr>
            <w:r>
              <w:rPr>
                <w:rFonts w:ascii="游ゴシック" w:hAnsi="游ゴシック" w:eastAsia="游ゴシック"/>
                <w:b w:val="0"/>
                <w:sz w:val="16"/>
              </w:rPr>
              <w:t>build_survey_check.py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build_chiiki_kadai_10.py</w:t>
            </w:r>
          </w:p>
        </w:tc>
        <w:tc>
          <w:tcPr>
            <w:tcW w:type="dxa" w:w="907"/>
            <w:vAlign w:val="center"/>
          </w:tcPr>
          <w:p>
            <w:pPr>
              <w:spacing w:after="0"/>
              <w:jc w:val="center"/>
            </w:pPr>
            <w:r>
              <w:rPr>
                <w:rFonts w:ascii="游ゴシック" w:hAnsi="游ゴシック" w:eastAsia="游ゴシック"/>
                <w:b w:val="0"/>
                <w:sz w:val="16"/>
              </w:rPr>
              <w:t>18件</w:t>
            </w:r>
          </w:p>
        </w:tc>
        <w:tc>
          <w:tcPr>
            <w:tcW w:type="dxa" w:w="3572"/>
            <w:vAlign w:val="center"/>
          </w:tcPr>
          <w:p>
            <w:pPr>
              <w:spacing w:after="0"/>
            </w:pPr>
            <w:r>
              <w:rPr>
                <w:rFonts w:ascii="游ゴシック" w:hAnsi="游ゴシック" w:eastAsia="游ゴシック"/>
                <w:b w:val="0"/>
                <w:sz w:val="16"/>
              </w:rPr>
              <w:t>build_survey_report.py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build_receipt_kyufu_sogo.py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build_receipt_riyojokyo.py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build_kofukin_shihyo.py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build_mieru_manual_review.py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build_survey_report_doc.py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build_zuhyo_daicho.py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build_taikeikakuhi.py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build_mieru_r8_input.py</w:t>
            </w:r>
          </w:p>
        </w:tc>
        <w:tc>
          <w:tcPr>
            <w:tcW w:type="dxa" w:w="907"/>
            <w:shd w:val="clear" w:color="auto" w:fill="F2F5FA"/>
            <w:vAlign w:val="center"/>
          </w:tcPr>
          <w:p>
            <w:pPr>
              <w:spacing w:after="0"/>
              <w:jc w:val="center"/>
            </w:pPr>
            <w:r>
              <w:rPr>
                <w:rFonts w:ascii="游ゴシック" w:hAnsi="游ゴシック" w:eastAsia="游ゴシック"/>
                <w:b w:val="0"/>
                <w:sz w:val="16"/>
              </w:rPr>
              <w:t>15件</w:t>
            </w:r>
          </w:p>
        </w:tc>
        <w:tc>
          <w:tcPr>
            <w:tcW w:type="dxa" w:w="3572"/>
            <w:shd w:val="clear" w:color="auto" w:fill="F2F5FA"/>
            <w:vAlign w:val="center"/>
          </w:tcPr>
          <w:p>
            <w:pPr>
              <w:spacing w:after="0"/>
            </w:pPr>
            <w:r>
              <w:rPr>
                <w:rFonts w:ascii="游ゴシック" w:hAnsi="游ゴシック" w:eastAsia="游ゴシック"/>
                <w:b w:val="0"/>
                <w:sz w:val="16"/>
              </w:rPr>
              <w:t>build_check_irai.py</w:t>
            </w:r>
          </w:p>
        </w:tc>
        <w:tc>
          <w:tcPr>
            <w:tcW w:type="dxa" w:w="907"/>
            <w:shd w:val="clear" w:color="auto" w:fill="F2F5FA"/>
            <w:vAlign w:val="center"/>
          </w:tcPr>
          <w:p>
            <w:pPr>
              <w:spacing w:after="0"/>
              <w:jc w:val="center"/>
            </w:pPr>
            <w:r>
              <w:rPr>
                <w:rFonts w:ascii="游ゴシック" w:hAnsi="游ゴシック" w:eastAsia="游ゴシック"/>
                <w:b w:val="0"/>
                <w:sz w:val="16"/>
              </w:rPr>
              <w:t>9件</w:t>
            </w:r>
          </w:p>
        </w:tc>
      </w:tr>
      <w:tr>
        <w:trPr>
          <w:cantSplit/>
        </w:trPr>
        <w:tc>
          <w:tcPr>
            <w:tcW w:type="dxa" w:w="3572"/>
            <w:vAlign w:val="center"/>
          </w:tcPr>
          <w:p>
            <w:pPr>
              <w:spacing w:after="0"/>
            </w:pPr>
            <w:r>
              <w:rPr>
                <w:rFonts w:ascii="游ゴシック" w:hAnsi="游ゴシック" w:eastAsia="游ゴシック"/>
                <w:b w:val="0"/>
                <w:sz w:val="16"/>
              </w:rPr>
              <w:t>build_member_work_review.py</w:t>
            </w:r>
          </w:p>
        </w:tc>
        <w:tc>
          <w:tcPr>
            <w:tcW w:type="dxa" w:w="907"/>
            <w:vAlign w:val="center"/>
          </w:tcPr>
          <w:p>
            <w:pPr>
              <w:spacing w:after="0"/>
              <w:jc w:val="center"/>
            </w:pPr>
            <w:r>
              <w:rPr>
                <w:rFonts w:ascii="游ゴシック" w:hAnsi="游ゴシック" w:eastAsia="游ゴシック"/>
                <w:b w:val="0"/>
                <w:sz w:val="16"/>
              </w:rPr>
              <w:t>14件</w:t>
            </w:r>
          </w:p>
        </w:tc>
        <w:tc>
          <w:tcPr>
            <w:tcW w:type="dxa" w:w="3572"/>
            <w:vAlign w:val="center"/>
          </w:tcPr>
          <w:p>
            <w:pPr>
              <w:spacing w:after="0"/>
            </w:pPr>
            <w:r>
              <w:rPr>
                <w:rFonts w:ascii="游ゴシック" w:hAnsi="游ゴシック" w:eastAsia="游ゴシック"/>
                <w:b w:val="0"/>
                <w:sz w:val="16"/>
              </w:rPr>
              <w:t>build_shiryo_denwa.py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build_chiiki_care_kaigi.py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build_mikomi_juryo_nashi.py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r>
        <w:trPr>
          <w:cantSplit/>
        </w:trPr>
        <w:tc>
          <w:tcPr>
            <w:tcW w:type="dxa" w:w="3572"/>
            <w:vAlign w:val="center"/>
          </w:tcPr>
          <w:p>
            <w:pPr>
              <w:spacing w:after="0"/>
            </w:pPr>
            <w:r>
              <w:rPr>
                <w:rFonts w:ascii="游ゴシック" w:hAnsi="游ゴシック" w:eastAsia="游ゴシック"/>
                <w:b w:val="0"/>
                <w:sz w:val="16"/>
              </w:rPr>
              <w:t>build_mikomiryo_togo.py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build_soan_kaki_review.py</w:t>
            </w:r>
          </w:p>
        </w:tc>
        <w:tc>
          <w:tcPr>
            <w:tcW w:type="dxa" w:w="907"/>
            <w:vAlign w:val="center"/>
          </w:tcPr>
          <w:p>
            <w:pPr>
              <w:spacing w:after="0"/>
              <w:jc w:val="center"/>
            </w:pPr>
            <w:r>
              <w:rPr>
                <w:rFonts w:ascii="游ゴシック" w:hAnsi="游ゴシック" w:eastAsia="游ゴシック"/>
                <w:b w:val="0"/>
                <w:sz w:val="16"/>
              </w:rPr>
              <w:t>7件</w:t>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928段落143表36図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発注者・委員会・住民の目に触れるもの。未確定箇所が149箇所（要協議114・要確認34・要内訳1）残っている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保険料の基礎になる。算定上の月額6,436円・保険料基準額6,400円はここから出ている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確認事項173件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'6,436\|6436\|9,031,900,444'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現在149箇所（要協議114・要確認34・要内訳1）です。うち第6章第4節（施設の見込み）に58箇所（43％）が集中しており、日常生活圏域と必要利用定員総数（確認事項No.88）が決まれば解消します。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自己点検を備えた34本を順に実行し、終了コードが0であることを確かめます。1件でも合わなければ終了コード1で終わり、不適合の内容が表示されます。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再実行できない3本（第2節3）は除いています。自己点検を持たないスクリプトも実行されますが、書き出しに失敗すればやはり0以外で終わります。自己点検を備えた34本は第3節1の表のとおりです。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