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令和8年10月</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にいただいたご照会に対する回答です。基準日 令和8年10月4日。</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keepNext/>
        <w:spacing w:before="160" w:after="40"/>
      </w:pPr>
      <w:r>
        <w:rPr>
          <w:rFonts w:ascii="游ゴシック" w:hAnsi="游ゴシック" w:eastAsia="游ゴシック"/>
          <w:b/>
          <w:sz w:val="20"/>
        </w:rPr>
        <w:t>表3　業務内容別の進捗（基準日 令和8年10月4日）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608"/>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850"/>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2608"/>
            <w:vAlign w:val="center"/>
          </w:tcPr>
          <w:p>
            <w:pPr>
              <w:keepNext/>
              <w:spacing w:after="0"/>
            </w:pPr>
            <w:r>
              <w:rPr>
                <w:rFonts w:ascii="游ゴシック" w:hAnsi="游ゴシック" w:eastAsia="游ゴシック"/>
                <w:b/>
                <w:sz w:val="18"/>
              </w:rPr>
              <w:t>(1) 制度改正等の整理</w:t>
            </w:r>
          </w:p>
        </w:tc>
        <w:tc>
          <w:tcPr>
            <w:tcW w:type="dxa" w:w="850"/>
            <w:vAlign w:val="center"/>
          </w:tcPr>
          <w:p>
            <w:pPr>
              <w:keepNext/>
              <w:spacing w:after="0"/>
              <w:jc w:val="center"/>
            </w:pPr>
            <w:r>
              <w:rPr>
                <w:rFonts w:ascii="游ゴシック" w:hAnsi="游ゴシック" w:eastAsia="游ゴシック"/>
                <w:b w:val="0"/>
                <w:sz w:val="18"/>
              </w:rPr>
              <w:t>92％</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(7) 計画策定支援</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r>
      <w:tr>
        <w:trPr>
          <w:cantSplit/>
        </w:trPr>
        <w:tc>
          <w:tcPr>
            <w:tcW w:type="dxa" w:w="2608"/>
            <w:shd w:val="clear" w:color="auto" w:fill="F2F5FA"/>
            <w:vAlign w:val="center"/>
          </w:tcPr>
          <w:p>
            <w:pPr>
              <w:keepNext/>
              <w:spacing w:after="0"/>
            </w:pPr>
            <w:r>
              <w:rPr>
                <w:rFonts w:ascii="游ゴシック" w:hAnsi="游ゴシック" w:eastAsia="游ゴシック"/>
                <w:b/>
                <w:sz w:val="18"/>
              </w:rPr>
              <w:t>(2) 第9期計画の評価・検証</w:t>
            </w:r>
          </w:p>
        </w:tc>
        <w:tc>
          <w:tcPr>
            <w:tcW w:type="dxa" w:w="850"/>
            <w:shd w:val="clear" w:color="auto" w:fill="F2F5FA"/>
            <w:vAlign w:val="center"/>
          </w:tcPr>
          <w:p>
            <w:pPr>
              <w:keepNext/>
              <w:spacing w:after="0"/>
              <w:jc w:val="center"/>
            </w:pPr>
            <w:r>
              <w:rPr>
                <w:rFonts w:ascii="游ゴシック" w:hAnsi="游ゴシック" w:eastAsia="游ゴシック"/>
                <w:b w:val="0"/>
                <w:sz w:val="18"/>
              </w:rPr>
              <w:t>96％</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c>
          <w:tcPr>
            <w:tcW w:type="dxa" w:w="2608"/>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850"/>
            <w:shd w:val="clear" w:color="auto" w:fill="F2F5FA"/>
            <w:vAlign w:val="center"/>
          </w:tcPr>
          <w:p>
            <w:pPr>
              <w:keepNext/>
              <w:spacing w:after="0"/>
              <w:jc w:val="center"/>
            </w:pPr>
            <w:r>
              <w:rPr>
                <w:rFonts w:ascii="游ゴシック" w:hAnsi="游ゴシック" w:eastAsia="游ゴシック"/>
                <w:b w:val="0"/>
                <w:sz w:val="18"/>
              </w:rPr>
              <w:t>20％</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r>
      <w:tr>
        <w:trPr>
          <w:cantSplit/>
        </w:trPr>
        <w:tc>
          <w:tcPr>
            <w:tcW w:type="dxa" w:w="2608"/>
            <w:vAlign w:val="center"/>
          </w:tcPr>
          <w:p>
            <w:pPr>
              <w:keepNext/>
              <w:spacing w:after="0"/>
            </w:pPr>
            <w:r>
              <w:rPr>
                <w:rFonts w:ascii="游ゴシック" w:hAnsi="游ゴシック" w:eastAsia="游ゴシック"/>
                <w:b/>
                <w:sz w:val="18"/>
              </w:rPr>
              <w:t>(3) 実施済み調査結果の集計・分析</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(9) パブリックコメント支援</w:t>
            </w:r>
          </w:p>
        </w:tc>
        <w:tc>
          <w:tcPr>
            <w:tcW w:type="dxa" w:w="850"/>
            <w:vAlign w:val="center"/>
          </w:tcPr>
          <w:p>
            <w:pPr>
              <w:keepNext/>
              <w:spacing w:after="0"/>
              <w:jc w:val="center"/>
            </w:pPr>
            <w:r>
              <w:rPr>
                <w:rFonts w:ascii="游ゴシック" w:hAnsi="游ゴシック" w:eastAsia="游ゴシック"/>
                <w:b w:val="0"/>
                <w:sz w:val="18"/>
              </w:rPr>
              <w:t>0％</w:t>
            </w:r>
          </w:p>
        </w:tc>
        <w:tc>
          <w:tcPr>
            <w:tcW w:type="dxa" w:w="850"/>
            <w:vAlign w:val="center"/>
          </w:tcPr>
          <w:p>
            <w:pPr>
              <w:keepNext/>
              <w:spacing w:after="0"/>
              <w:jc w:val="center"/>
            </w:pPr>
            <w:r>
              <w:rPr>
                <w:rFonts w:ascii="游ゴシック" w:hAnsi="游ゴシック" w:eastAsia="游ゴシック"/>
                <w:b w:val="0"/>
                <w:sz w:val="18"/>
              </w:rPr>
              <w:t>未着手</w:t>
            </w:r>
          </w:p>
        </w:tc>
      </w:tr>
      <w:tr>
        <w:trPr>
          <w:cantSplit/>
        </w:trPr>
        <w:tc>
          <w:tcPr>
            <w:tcW w:type="dxa" w:w="2608"/>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850"/>
            <w:shd w:val="clear" w:color="auto" w:fill="F2F5FA"/>
            <w:vAlign w:val="center"/>
          </w:tcPr>
          <w:p>
            <w:pPr>
              <w:keepNext/>
              <w:spacing w:after="0"/>
              <w:jc w:val="center"/>
            </w:pPr>
            <w:r>
              <w:rPr>
                <w:rFonts w:ascii="游ゴシック" w:hAnsi="游ゴシック" w:eastAsia="游ゴシック"/>
                <w:b w:val="0"/>
                <w:sz w:val="18"/>
              </w:rPr>
              <w:t>99％</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c>
          <w:tcPr>
            <w:tcW w:type="dxa" w:w="2608"/>
            <w:shd w:val="clear" w:color="auto" w:fill="F2F5FA"/>
            <w:vAlign w:val="center"/>
          </w:tcPr>
          <w:p>
            <w:pPr>
              <w:keepNext/>
              <w:spacing w:after="0"/>
            </w:pPr>
            <w:r>
              <w:rPr>
                <w:rFonts w:ascii="游ゴシック" w:hAnsi="游ゴシック" w:eastAsia="游ゴシック"/>
                <w:b w:val="0"/>
                <w:sz w:val="18"/>
              </w:rPr>
              <w:t>(10) 成果品の作成</w:t>
            </w:r>
          </w:p>
        </w:tc>
        <w:tc>
          <w:tcPr>
            <w:tcW w:type="dxa" w:w="850"/>
            <w:shd w:val="clear" w:color="auto" w:fill="F2F5FA"/>
            <w:vAlign w:val="center"/>
          </w:tcPr>
          <w:p>
            <w:pPr>
              <w:keepNext/>
              <w:spacing w:after="0"/>
              <w:jc w:val="center"/>
            </w:pPr>
            <w:r>
              <w:rPr>
                <w:rFonts w:ascii="游ゴシック" w:hAnsi="游ゴシック" w:eastAsia="游ゴシック"/>
                <w:b w:val="0"/>
                <w:sz w:val="18"/>
              </w:rPr>
              <w:t>90％</w:t>
            </w:r>
          </w:p>
        </w:tc>
        <w:tc>
          <w:tcPr>
            <w:tcW w:type="dxa" w:w="850"/>
            <w:shd w:val="clear" w:color="auto" w:fill="F2F5FA"/>
            <w:vAlign w:val="center"/>
          </w:tcPr>
          <w:p>
            <w:pPr>
              <w:keepNext/>
              <w:spacing w:after="0"/>
              <w:jc w:val="center"/>
            </w:pPr>
            <w:r>
              <w:rPr>
                <w:rFonts w:ascii="游ゴシック" w:hAnsi="游ゴシック" w:eastAsia="游ゴシック"/>
                <w:b w:val="0"/>
                <w:sz w:val="18"/>
              </w:rPr>
              <w:t>実施中</w:t>
            </w:r>
          </w:p>
        </w:tc>
      </w:tr>
      <w:tr>
        <w:trPr>
          <w:cantSplit/>
        </w:trPr>
        <w:tc>
          <w:tcPr>
            <w:tcW w:type="dxa" w:w="2608"/>
            <w:vAlign w:val="center"/>
          </w:tcPr>
          <w:p>
            <w:pPr>
              <w:keepNext/>
              <w:spacing w:after="0"/>
            </w:pPr>
            <w:r>
              <w:rPr>
                <w:rFonts w:ascii="游ゴシック" w:hAnsi="游ゴシック" w:eastAsia="游ゴシック"/>
                <w:b/>
                <w:sz w:val="18"/>
              </w:rPr>
              <w:t>(5) 将来推計</w:t>
            </w:r>
          </w:p>
        </w:tc>
        <w:tc>
          <w:tcPr>
            <w:tcW w:type="dxa" w:w="850"/>
            <w:vAlign w:val="center"/>
          </w:tcPr>
          <w:p>
            <w:pPr>
              <w:keepNext/>
              <w:spacing w:after="0"/>
              <w:jc w:val="center"/>
            </w:pPr>
            <w:r>
              <w:rPr>
                <w:rFonts w:ascii="游ゴシック" w:hAnsi="游ゴシック" w:eastAsia="游ゴシック"/>
                <w:b w:val="0"/>
                <w:sz w:val="18"/>
              </w:rPr>
              <w:t>99％</w:t>
            </w:r>
          </w:p>
        </w:tc>
        <w:tc>
          <w:tcPr>
            <w:tcW w:type="dxa" w:w="850"/>
            <w:vAlign w:val="center"/>
          </w:tcPr>
          <w:p>
            <w:pPr>
              <w:keepNext/>
              <w:spacing w:after="0"/>
              <w:jc w:val="center"/>
            </w:pPr>
            <w:r>
              <w:rPr>
                <w:rFonts w:ascii="游ゴシック" w:hAnsi="游ゴシック" w:eastAsia="游ゴシック"/>
                <w:b w:val="0"/>
                <w:sz w:val="18"/>
              </w:rPr>
              <w:t>実施中</w:t>
            </w:r>
          </w:p>
        </w:tc>
        <w:tc>
          <w:tcPr>
            <w:tcW w:type="dxa" w:w="2608"/>
            <w:vAlign w:val="center"/>
          </w:tcPr>
          <w:p>
            <w:pPr>
              <w:keepNext/>
              <w:spacing w:after="0"/>
            </w:pPr>
            <w:r>
              <w:rPr>
                <w:rFonts w:ascii="游ゴシック" w:hAnsi="游ゴシック" w:eastAsia="游ゴシック"/>
                <w:b w:val="0"/>
                <w:sz w:val="18"/>
              </w:rPr>
              <w:t>(11) 成果品の帰属</w:t>
            </w:r>
          </w:p>
        </w:tc>
        <w:tc>
          <w:tcPr>
            <w:tcW w:type="dxa" w:w="850"/>
            <w:vAlign w:val="center"/>
          </w:tcPr>
          <w:p>
            <w:pPr>
              <w:keepNext/>
              <w:spacing w:after="0"/>
              <w:jc w:val="center"/>
            </w:pPr>
            <w:r>
              <w:rPr>
                <w:rFonts w:ascii="游ゴシック" w:hAnsi="游ゴシック" w:eastAsia="游ゴシック"/>
                <w:b w:val="0"/>
                <w:sz w:val="18"/>
              </w:rPr>
              <w:t>―</w:t>
            </w:r>
          </w:p>
        </w:tc>
        <w:tc>
          <w:tcPr>
            <w:tcW w:type="dxa" w:w="850"/>
            <w:vAlign w:val="center"/>
          </w:tcPr>
          <w:p>
            <w:pPr>
              <w:keepNext/>
              <w:spacing w:after="0"/>
              <w:jc w:val="center"/>
            </w:pPr>
            <w:r>
              <w:rPr>
                <w:rFonts w:ascii="游ゴシック" w:hAnsi="游ゴシック" w:eastAsia="游ゴシック"/>
                <w:b w:val="0"/>
                <w:sz w:val="18"/>
              </w:rPr>
              <w:t>対象外</w:t>
            </w:r>
          </w:p>
        </w:tc>
      </w:tr>
      <w:tr>
        <w:trPr>
          <w:cantSplit/>
        </w:trPr>
        <w:tc>
          <w:tcPr>
            <w:tcW w:type="dxa" w:w="2608"/>
            <w:shd w:val="clear" w:color="auto" w:fill="F2F5FA"/>
            <w:vAlign w:val="center"/>
          </w:tcPr>
          <w:p>
            <w:pPr>
              <w:spacing w:after="0"/>
            </w:pPr>
            <w:r>
              <w:rPr>
                <w:rFonts w:ascii="游ゴシック" w:hAnsi="游ゴシック" w:eastAsia="游ゴシック"/>
                <w:b/>
                <w:sz w:val="18"/>
              </w:rPr>
              <w:t>(6) 計画書の作成</w:t>
            </w:r>
          </w:p>
        </w:tc>
        <w:tc>
          <w:tcPr>
            <w:tcW w:type="dxa" w:w="850"/>
            <w:shd w:val="clear" w:color="auto" w:fill="F2F5FA"/>
            <w:vAlign w:val="center"/>
          </w:tcPr>
          <w:p>
            <w:pPr>
              <w:spacing w:after="0"/>
              <w:jc w:val="center"/>
            </w:pPr>
            <w:r>
              <w:rPr>
                <w:rFonts w:ascii="游ゴシック" w:hAnsi="游ゴシック" w:eastAsia="游ゴシック"/>
                <w:b w:val="0"/>
                <w:sz w:val="18"/>
              </w:rPr>
              <w:t>99％</w:t>
            </w:r>
          </w:p>
        </w:tc>
        <w:tc>
          <w:tcPr>
            <w:tcW w:type="dxa" w:w="850"/>
            <w:shd w:val="clear" w:color="auto" w:fill="F2F5FA"/>
            <w:vAlign w:val="center"/>
          </w:tcPr>
          <w:p>
            <w:pPr>
              <w:spacing w:after="0"/>
              <w:jc w:val="center"/>
            </w:pPr>
            <w:r>
              <w:rPr>
                <w:rFonts w:ascii="游ゴシック" w:hAnsi="游ゴシック" w:eastAsia="游ゴシック"/>
                <w:b w:val="0"/>
                <w:sz w:val="18"/>
              </w:rPr>
              <w:t>実施中</w:t>
            </w:r>
          </w:p>
        </w:tc>
        <w:tc>
          <w:tcPr>
            <w:tcW w:type="dxa" w:w="2608"/>
            <w:shd w:val="clear" w:color="auto" w:fill="F2F5FA"/>
            <w:vAlign w:val="center"/>
          </w:tcPr>
          <w:p>
            <w:pPr>
              <w:spacing w:after="0"/>
            </w:pPr>
            <w:r>
              <w:rPr>
                <w:rFonts w:ascii="游ゴシック" w:hAnsi="游ゴシック" w:eastAsia="游ゴシック"/>
                <w:b w:val="0"/>
                <w:sz w:val="18"/>
              </w:rPr>
              <w:t>(12) その他</w:t>
            </w:r>
          </w:p>
        </w:tc>
        <w:tc>
          <w:tcPr>
            <w:tcW w:type="dxa" w:w="850"/>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随時</w:t>
            </w:r>
          </w:p>
        </w:tc>
      </w:tr>
    </w:tbl>
    <w:p>
      <w:pPr>
        <w:ind w:left="227"/>
      </w:pPr>
      <w:r>
        <w:rPr>
          <w:rFonts w:ascii="游ゴシック" w:hAnsi="游ゴシック" w:eastAsia="游ゴシック"/>
          <w:b w:val="0"/>
          <w:sz w:val="18"/>
        </w:rPr>
        <w:t>※ 全体は、進捗を数値で表せる10業務の単純平均で79％です。（11）成果品の帰属及び（12）その他は数値で表していません。</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見込量は介護保険事業状況報告（年報・令和7年度）の要介護度別の実績に将来の認定者数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調査結果を計画素案のどの箇所にどう反映するかを定めたもの。うち2件は前提となる確認を要しないため着手できる</w:t>
            </w:r>
          </w:p>
        </w:tc>
        <w:tc>
          <w:tcPr>
            <w:tcW w:type="dxa" w:w="2381"/>
            <w:shd w:val="clear" w:color="auto" w:fill="F2F5FA"/>
            <w:vAlign w:val="center"/>
          </w:tcPr>
          <w:p>
            <w:pPr>
              <w:keepNext/>
              <w:spacing w:after="0"/>
            </w:pPr>
            <w:r>
              <w:rPr>
                <w:rFonts w:ascii="游ゴシック" w:hAnsi="游ゴシック" w:eastAsia="游ゴシック"/>
                <w:b w:val="0"/>
                <w:sz w:val="18"/>
              </w:rPr>
              <w:t>①の確認（2件を除く）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第8章第3節（2）に掲げた9件について、確認主体・確認の期限及び反映先を併せて示します。確認主体と期限は、実施済み3調査の受領点検と集計（02 点検で見つかった事項）に掲げているものです。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020"/>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1020"/>
            <w:vAlign w:val="center"/>
          </w:tcPr>
          <w:p>
            <w:pPr>
              <w:keepNext/>
              <w:spacing w:after="0"/>
            </w:pPr>
            <w:r>
              <w:rPr>
                <w:rFonts w:ascii="游ゴシック" w:hAnsi="游ゴシック" w:eastAsia="游ゴシック"/>
                <w:b w:val="0"/>
                <w:sz w:val="18"/>
              </w:rPr>
              <w:t>③人材</w:t>
            </w:r>
          </w:p>
        </w:tc>
        <w:tc>
          <w:tcPr>
            <w:tcW w:type="dxa" w:w="2154"/>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3628"/>
            <w:vAlign w:val="center"/>
          </w:tcPr>
          <w:p>
            <w:pPr>
              <w:keepNext/>
              <w:spacing w:after="0"/>
            </w:pPr>
            <w:r>
              <w:rPr>
                <w:rFonts w:ascii="游ゴシック" w:hAnsi="游ゴシック" w:eastAsia="游ゴシック"/>
                <w:b w:val="0"/>
                <w:sz w:val="18"/>
              </w:rPr>
              <w:t>2事業所の職員を単純に合計すると13人が二重に計上される。</w:t>
            </w:r>
          </w:p>
        </w:tc>
        <w:tc>
          <w:tcPr>
            <w:tcW w:type="dxa" w:w="1814"/>
            <w:vAlign w:val="center"/>
          </w:tcPr>
          <w:p>
            <w:pPr>
              <w:keepNext/>
              <w:spacing w:after="0"/>
            </w:pPr>
            <w:r>
              <w:rPr>
                <w:rFonts w:ascii="游ゴシック" w:hAnsi="游ゴシック" w:eastAsia="游ゴシック"/>
                <w:b w:val="0"/>
                <w:sz w:val="18"/>
              </w:rPr>
              <w:t>提出元の事業所（発注者を経由）</w:t>
            </w:r>
          </w:p>
        </w:tc>
        <w:tc>
          <w:tcPr>
            <w:tcW w:type="dxa" w:w="1134"/>
            <w:vAlign w:val="center"/>
          </w:tcPr>
          <w:p>
            <w:pPr>
              <w:keepNext/>
              <w:spacing w:after="0"/>
            </w:pPr>
            <w:r>
              <w:rPr>
                <w:rFonts w:ascii="游ゴシック" w:hAnsi="游ゴシック" w:eastAsia="游ゴシック"/>
                <w:b w:val="0"/>
                <w:sz w:val="18"/>
              </w:rPr>
              <w:t>第2章第6節</w:t>
            </w:r>
          </w:p>
        </w:tc>
      </w:tr>
      <w:tr>
        <w:trPr>
          <w:cantSplit/>
        </w:trPr>
        <w:tc>
          <w:tcPr>
            <w:tcW w:type="dxa" w:w="1020"/>
            <w:shd w:val="clear" w:color="auto" w:fill="F2F5FA"/>
            <w:vAlign w:val="center"/>
          </w:tcPr>
          <w:p>
            <w:pPr>
              <w:keepNext/>
              <w:spacing w:after="0"/>
            </w:pPr>
            <w:r>
              <w:rPr>
                <w:rFonts w:ascii="游ゴシック" w:hAnsi="游ゴシック" w:eastAsia="游ゴシック"/>
                <w:b w:val="0"/>
                <w:sz w:val="18"/>
              </w:rPr>
              <w:t>①在宅</w:t>
            </w:r>
          </w:p>
        </w:tc>
        <w:tc>
          <w:tcPr>
            <w:tcW w:type="dxa" w:w="2154"/>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3628"/>
            <w:shd w:val="clear" w:color="auto" w:fill="F2F5FA"/>
            <w:vAlign w:val="center"/>
          </w:tcPr>
          <w:p>
            <w:pPr>
              <w:keepNext/>
              <w:spacing w:after="0"/>
            </w:pPr>
            <w:r>
              <w:rPr>
                <w:rFonts w:ascii="游ゴシック" w:hAnsi="游ゴシック" w:eastAsia="游ゴシック"/>
                <w:b w:val="0"/>
                <w:sz w:val="18"/>
              </w:rPr>
              <w:t>回答者が自らのサービス種別を推奨する構造になっているため、44件をそのまま小規模多機能の需要として第6章第2…</w:t>
            </w:r>
          </w:p>
        </w:tc>
        <w:tc>
          <w:tcPr>
            <w:tcW w:type="dxa" w:w="181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134"/>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1020"/>
            <w:vAlign w:val="center"/>
          </w:tcPr>
          <w:p>
            <w:pPr>
              <w:keepNext/>
              <w:spacing w:after="0"/>
            </w:pPr>
            <w:r>
              <w:rPr>
                <w:rFonts w:ascii="游ゴシック" w:hAnsi="游ゴシック" w:eastAsia="游ゴシック"/>
                <w:b w:val="0"/>
                <w:sz w:val="18"/>
              </w:rPr>
              <w:t>①在宅</w:t>
            </w:r>
          </w:p>
        </w:tc>
        <w:tc>
          <w:tcPr>
            <w:tcW w:type="dxa" w:w="2154"/>
            <w:vAlign w:val="center"/>
          </w:tcPr>
          <w:p>
            <w:pPr>
              <w:keepNext/>
              <w:spacing w:after="0"/>
            </w:pPr>
            <w:r>
              <w:rPr>
                <w:rFonts w:ascii="游ゴシック" w:hAnsi="游ゴシック" w:eastAsia="游ゴシック"/>
                <w:b w:val="0"/>
                <w:sz w:val="18"/>
              </w:rPr>
              <w:t>利用者の所在地区（Q1_0）</w:t>
            </w:r>
          </w:p>
        </w:tc>
        <w:tc>
          <w:tcPr>
            <w:tcW w:type="dxa" w:w="3628"/>
            <w:vAlign w:val="center"/>
          </w:tcPr>
          <w:p>
            <w:pPr>
              <w:keepNext/>
              <w:spacing w:after="0"/>
            </w:pPr>
            <w:r>
              <w:rPr>
                <w:rFonts w:ascii="游ゴシック" w:hAnsi="游ゴシック" w:eastAsia="游ゴシック"/>
                <w:b w:val="0"/>
                <w:sz w:val="18"/>
              </w:rPr>
              <w:t>地区別・日常生活圏域別の集計ができない。第1章第7節（日常生活圏域）及び第2章の地域分析に用いられない。</w:t>
            </w:r>
          </w:p>
        </w:tc>
        <w:tc>
          <w:tcPr>
            <w:tcW w:type="dxa" w:w="1814"/>
            <w:vAlign w:val="center"/>
          </w:tcPr>
          <w:p>
            <w:pPr>
              <w:keepNext/>
              <w:spacing w:after="0"/>
            </w:pPr>
            <w:r>
              <w:rPr>
                <w:rFonts w:ascii="游ゴシック" w:hAnsi="游ゴシック" w:eastAsia="游ゴシック"/>
                <w:b w:val="0"/>
                <w:sz w:val="18"/>
              </w:rPr>
              <w:t>発注者（利用者票の所在地区の記入形式）</w:t>
            </w:r>
          </w:p>
        </w:tc>
        <w:tc>
          <w:tcPr>
            <w:tcW w:type="dxa" w:w="1134"/>
            <w:vAlign w:val="center"/>
          </w:tcPr>
          <w:p>
            <w:pPr>
              <w:keepNext/>
              <w:spacing w:after="0"/>
            </w:pPr>
            <w:r>
              <w:rPr>
                <w:rFonts w:ascii="游ゴシック" w:hAnsi="游ゴシック" w:eastAsia="游ゴシック"/>
                <w:b w:val="0"/>
                <w:sz w:val="18"/>
              </w:rPr>
              <w:t>第1章第7節</w:t>
            </w:r>
          </w:p>
        </w:tc>
      </w:tr>
      <w:tr>
        <w:trPr>
          <w:cantSplit/>
        </w:trPr>
        <w:tc>
          <w:tcPr>
            <w:tcW w:type="dxa" w:w="1020"/>
            <w:shd w:val="clear" w:color="auto" w:fill="F2F5FA"/>
            <w:vAlign w:val="center"/>
          </w:tcPr>
          <w:p>
            <w:pPr>
              <w:keepNext/>
              <w:spacing w:after="0"/>
            </w:pPr>
            <w:r>
              <w:rPr>
                <w:rFonts w:ascii="游ゴシック" w:hAnsi="游ゴシック" w:eastAsia="游ゴシック"/>
                <w:b w:val="0"/>
                <w:sz w:val="18"/>
              </w:rPr>
              <w:t>③人材</w:t>
            </w:r>
          </w:p>
        </w:tc>
        <w:tc>
          <w:tcPr>
            <w:tcW w:type="dxa" w:w="2154"/>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3628"/>
            <w:shd w:val="clear" w:color="auto" w:fill="F2F5FA"/>
            <w:vAlign w:val="center"/>
          </w:tcPr>
          <w:p>
            <w:pPr>
              <w:keepNext/>
              <w:spacing w:after="0"/>
            </w:pPr>
            <w:r>
              <w:rPr>
                <w:rFonts w:ascii="游ゴシック" w:hAnsi="游ゴシック" w:eastAsia="游ゴシック"/>
                <w:b w:val="0"/>
                <w:sz w:val="18"/>
              </w:rPr>
              <w:t>①調査で「介護職員」に支援相談員・その他の職員を含めて記入したのか、②見える化の令和5・6年度の値が実態より…</w:t>
            </w:r>
          </w:p>
        </w:tc>
        <w:tc>
          <w:tcPr>
            <w:tcW w:type="dxa" w:w="181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134"/>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1020"/>
            <w:vAlign w:val="center"/>
          </w:tcPr>
          <w:p>
            <w:pPr>
              <w:keepNext/>
              <w:spacing w:after="0"/>
            </w:pPr>
            <w:r>
              <w:rPr>
                <w:rFonts w:ascii="游ゴシック" w:hAnsi="游ゴシック" w:eastAsia="游ゴシック"/>
                <w:b w:val="0"/>
                <w:sz w:val="18"/>
              </w:rPr>
              <w:t>②居所</w:t>
            </w:r>
          </w:p>
        </w:tc>
        <w:tc>
          <w:tcPr>
            <w:tcW w:type="dxa" w:w="2154"/>
            <w:vAlign w:val="center"/>
          </w:tcPr>
          <w:p>
            <w:pPr>
              <w:keepNext/>
              <w:spacing w:after="0"/>
            </w:pPr>
            <w:r>
              <w:rPr>
                <w:rFonts w:ascii="游ゴシック" w:hAnsi="游ゴシック" w:eastAsia="游ゴシック"/>
                <w:b w:val="0"/>
                <w:sz w:val="18"/>
              </w:rPr>
              <w:t>特定施設の1施設が回答していない</w:t>
            </w:r>
          </w:p>
        </w:tc>
        <w:tc>
          <w:tcPr>
            <w:tcW w:type="dxa" w:w="3628"/>
            <w:vAlign w:val="center"/>
          </w:tcPr>
          <w:p>
            <w:pPr>
              <w:keepNext/>
              <w:spacing w:after="0"/>
            </w:pPr>
            <w:r>
              <w:rPr>
                <w:rFonts w:ascii="游ゴシック" w:hAnsi="游ゴシック" w:eastAsia="游ゴシック"/>
                <w:b w:val="0"/>
                <w:sz w:val="18"/>
              </w:rPr>
              <w:t>区域内最大の特定施設が抜けているため、特定施設の入所前の居場所・退去先の集計（新規入所の84.2％が区域外）…</w:t>
            </w:r>
          </w:p>
        </w:tc>
        <w:tc>
          <w:tcPr>
            <w:tcW w:type="dxa" w:w="1814"/>
            <w:vAlign w:val="center"/>
          </w:tcPr>
          <w:p>
            <w:pPr>
              <w:keepNext/>
              <w:spacing w:after="0"/>
            </w:pPr>
            <w:r>
              <w:rPr>
                <w:rFonts w:ascii="游ゴシック" w:hAnsi="游ゴシック" w:eastAsia="游ゴシック"/>
                <w:b w:val="0"/>
                <w:sz w:val="18"/>
              </w:rPr>
              <w:t>発注者（さわやか東神楽館への照会）</w:t>
            </w:r>
          </w:p>
        </w:tc>
        <w:tc>
          <w:tcPr>
            <w:tcW w:type="dxa" w:w="1134"/>
            <w:vAlign w:val="center"/>
          </w:tcPr>
          <w:p>
            <w:pPr>
              <w:keepNext/>
              <w:spacing w:after="0"/>
            </w:pPr>
            <w:r>
              <w:rPr>
                <w:rFonts w:ascii="游ゴシック" w:hAnsi="游ゴシック" w:eastAsia="游ゴシック"/>
                <w:b w:val="0"/>
                <w:sz w:val="18"/>
              </w:rPr>
              <w:t>―</w:t>
            </w:r>
          </w:p>
        </w:tc>
      </w:tr>
      <w:tr>
        <w:trPr>
          <w:cantSplit/>
        </w:trPr>
        <w:tc>
          <w:tcPr>
            <w:tcW w:type="dxa" w:w="1020"/>
            <w:shd w:val="clear" w:color="auto" w:fill="F2F5FA"/>
            <w:vAlign w:val="center"/>
          </w:tcPr>
          <w:p>
            <w:pPr>
              <w:spacing w:after="0"/>
            </w:pPr>
            <w:r>
              <w:rPr>
                <w:rFonts w:ascii="游ゴシック" w:hAnsi="游ゴシック" w:eastAsia="游ゴシック"/>
                <w:b w:val="0"/>
                <w:sz w:val="18"/>
              </w:rPr>
              <w:t>②居所</w:t>
            </w:r>
          </w:p>
        </w:tc>
        <w:tc>
          <w:tcPr>
            <w:tcW w:type="dxa" w:w="2154"/>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3628"/>
            <w:shd w:val="clear" w:color="auto" w:fill="F2F5FA"/>
            <w:vAlign w:val="center"/>
          </w:tcPr>
          <w:p>
            <w:pPr>
              <w:spacing w:after="0"/>
            </w:pPr>
            <w:r>
              <w:rPr>
                <w:rFonts w:ascii="游ゴシック" w:hAnsi="游ゴシック" w:eastAsia="游ゴシック"/>
                <w:b w:val="0"/>
                <w:sz w:val="18"/>
              </w:rPr>
              <w:t>「26施設・未回答9施設」は、アゼリアハイツ（広域型・ユニット型）及びグループホーム2事業所を未回答として数…</w:t>
            </w:r>
          </w:p>
        </w:tc>
        <w:tc>
          <w:tcPr>
            <w:tcW w:type="dxa" w:w="181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1134"/>
            <w:shd w:val="clear" w:color="auto" w:fill="F2F5FA"/>
            <w:vAlign w:val="center"/>
          </w:tcPr>
          <w:p>
            <w:pPr>
              <w:spacing w:after="0"/>
            </w:pPr>
            <w:r>
              <w:rPr>
                <w:rFonts w:ascii="游ゴシック" w:hAnsi="游ゴシック" w:eastAsia="游ゴシック"/>
                <w:b w:val="0"/>
                <w:sz w:val="18"/>
              </w:rPr>
              <w:t>―</w:t>
            </w:r>
          </w:p>
        </w:tc>
      </w:tr>
    </w:tbl>
    <w:p>
      <w:pPr>
        <w:keepNext/>
        <w:spacing w:before="180" w:after="60"/>
      </w:pPr>
      <w:r>
        <w:rPr>
          <w:rFonts w:ascii="游ゴシック" w:hAnsi="游ゴシック" w:eastAsia="游ゴシック"/>
          <w:b/>
          <w:sz w:val="22"/>
        </w:rPr>
        <w:t>4　確認を要しないため着手できるもの</w:t>
      </w:r>
    </w:p>
    <w:p>
      <w:pPr>
        <w:spacing w:after="80"/>
      </w:pPr>
      <w:r>
        <w:rPr>
          <w:rFonts w:ascii="游ゴシック" w:hAnsi="游ゴシック" w:eastAsia="游ゴシック"/>
          <w:b w:val="0"/>
          <w:sz w:val="21"/>
        </w:rPr>
        <w:t>計画本文への反映を予定している9件のうち、前提となる確認を要しないものが2件あります。こちらは受託者の作業のみで進めます。</w:t>
      </w:r>
    </w:p>
    <w:p>
      <w:pPr>
        <w:keepNext/>
        <w:spacing w:before="160" w:after="40"/>
      </w:pPr>
      <w:r>
        <w:rPr>
          <w:rFonts w:ascii="游ゴシック" w:hAnsi="游ゴシック" w:eastAsia="游ゴシック"/>
          <w:b/>
          <w:sz w:val="20"/>
        </w:rPr>
        <w:t>表9　確認を要しないもの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反映する内容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時期</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pPr>
            <w:r>
              <w:rPr>
                <w:rFonts w:ascii="游ゴシック" w:hAnsi="游ゴシック" w:eastAsia="游ゴシック"/>
                <w:b w:val="0"/>
                <w:sz w:val="18"/>
              </w:rPr>
              <w:t>R8.9</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pPr>
            <w:r>
              <w:rPr>
                <w:rFonts w:ascii="游ゴシック" w:hAnsi="游ゴシック" w:eastAsia="游ゴシック"/>
                <w:b w:val="0"/>
                <w:sz w:val="18"/>
              </w:rPr>
              <w:t>R8.9</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確認事項は全173件、うち未決が160件です。そのまま掲げると用をなさないため、本節では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160件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160件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38件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全173件／未決160件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台帳を1つに減らしていない理由</w:t>
      </w:r>
    </w:p>
    <w:p>
      <w:pPr>
        <w:spacing w:after="80"/>
      </w:pPr>
      <w:r>
        <w:rPr>
          <w:rFonts w:ascii="游ゴシック" w:hAnsi="游ゴシック" w:eastAsia="游ゴシック"/>
          <w:b w:val="0"/>
          <w:sz w:val="21"/>
        </w:rPr>
        <w:t>計画素案の章節から引く索引（別管理表）と、業務の工程の進捗を管理する台帳（業務工程管理表）は用途が異なります。</w:t>
      </w:r>
      <w:r>
        <w:rPr>
          <w:rFonts w:ascii="游ゴシック" w:hAnsi="游ゴシック" w:eastAsia="游ゴシック"/>
          <w:b/>
          <w:sz w:val="21"/>
        </w:rPr>
        <w:t>業務工程管理表を正とし、別管理表には対応する確認事項の番号を注記しています。</w:t>
      </w:r>
      <w:r>
        <w:rPr>
          <w:rFonts w:ascii="游ゴシック" w:hAnsi="游ゴシック" w:eastAsia="游ゴシック"/>
          <w:b w:val="0"/>
          <w:sz w:val="21"/>
        </w:rPr>
        <w:t xml:space="preserve"> 同じ問いを二重に管理しているものが8件あり、いずれも対応を明示しています。</w:t>
      </w:r>
    </w:p>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p>
      <w:pPr>
        <w:keepNext/>
        <w:pageBreakBefore/>
        <w:spacing w:before="0" w:after="120"/>
      </w:pPr>
      <w:r>
        <w:rPr>
          <w:rFonts w:ascii="游ゴシック" w:hAnsi="游ゴシック" w:eastAsia="游ゴシック"/>
          <w:b/>
          <w:color w:val="1F3864"/>
          <w:sz w:val="26"/>
        </w:rPr>
        <w:t>（参考）　本資料の自己点検</w:t>
      </w:r>
    </w:p>
    <w:p>
      <w:pPr>
        <w:spacing w:after="80"/>
      </w:pPr>
      <w:r>
        <w:rPr>
          <w:rFonts w:ascii="游ゴシック" w:hAnsi="游ゴシック" w:eastAsia="游ゴシック"/>
          <w:b w:val="0"/>
          <w:sz w:val="21"/>
        </w:rPr>
        <w:t>本資料の数値と記述が、業務工程管理表・サービス見込量の算定及び実施済み調査 結果報告書と合っていることを機械で確かめた結果です。1件でも不適合があれば作成を止めます。</w:t>
      </w:r>
    </w:p>
    <w:p>
      <w:pPr>
        <w:keepNext/>
        <w:spacing w:before="160" w:after="40"/>
      </w:pPr>
      <w:r>
        <w:rPr>
          <w:rFonts w:ascii="游ゴシック" w:hAnsi="游ゴシック" w:eastAsia="游ゴシック"/>
          <w:b/>
          <w:sz w:val="20"/>
        </w:rPr>
        <w:t>表20　自己点検の結果（25件）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確かめたこと</w:t>
            </w:r>
          </w:p>
        </w:tc>
        <w:tc>
          <w:tcPr>
            <w:tcW w:type="dxa" w:w="3628"/>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680"/>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お尋ねの5項目に対応する節があること</w:t>
            </w:r>
          </w:p>
        </w:tc>
        <w:tc>
          <w:tcPr>
            <w:tcW w:type="dxa" w:w="3628"/>
            <w:vAlign w:val="center"/>
          </w:tcPr>
          <w:p>
            <w:pPr>
              <w:spacing w:after="0"/>
            </w:pPr>
            <w:r>
              <w:rPr>
                <w:rFonts w:ascii="游ゴシック" w:hAnsi="游ゴシック" w:eastAsia="游ゴシック"/>
                <w:b w:val="0"/>
                <w:sz w:val="18"/>
              </w:rPr>
              <w:t>第2節から第7節＋管理資料（第8節）</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確認事項を業務工程管理表から読んでいること</w:t>
            </w:r>
          </w:p>
        </w:tc>
        <w:tc>
          <w:tcPr>
            <w:tcW w:type="dxa" w:w="3628"/>
            <w:shd w:val="clear" w:color="auto" w:fill="F2F5FA"/>
            <w:vAlign w:val="center"/>
          </w:tcPr>
          <w:p>
            <w:pPr>
              <w:spacing w:after="0"/>
            </w:pPr>
            <w:r>
              <w:rPr>
                <w:rFonts w:ascii="游ゴシック" w:hAnsi="游ゴシック" w:eastAsia="游ゴシック"/>
                <w:b w:val="0"/>
                <w:sz w:val="18"/>
              </w:rPr>
              <w:t>全173件・未決160件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確認事項の番号に欠番・重複がないこと</w:t>
            </w:r>
          </w:p>
        </w:tc>
        <w:tc>
          <w:tcPr>
            <w:tcW w:type="dxa" w:w="3628"/>
            <w:vAlign w:val="center"/>
          </w:tcPr>
          <w:p>
            <w:pPr>
              <w:spacing w:after="0"/>
            </w:pPr>
            <w:r>
              <w:rPr>
                <w:rFonts w:ascii="游ゴシック" w:hAnsi="游ゴシック" w:eastAsia="游ゴシック"/>
                <w:b w:val="0"/>
                <w:sz w:val="18"/>
              </w:rPr>
              <w:t>No.1〜No.173</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未決の全件に決まらない場合の扱いがあること</w:t>
            </w:r>
          </w:p>
        </w:tc>
        <w:tc>
          <w:tcPr>
            <w:tcW w:type="dxa" w:w="3628"/>
            <w:shd w:val="clear" w:color="auto" w:fill="F2F5FA"/>
            <w:vAlign w:val="center"/>
          </w:tcPr>
          <w:p>
            <w:pPr>
              <w:spacing w:after="0"/>
            </w:pPr>
            <w:r>
              <w:rPr>
                <w:rFonts w:ascii="游ゴシック" w:hAnsi="游ゴシック" w:eastAsia="游ゴシック"/>
                <w:b w:val="0"/>
                <w:sz w:val="18"/>
              </w:rPr>
              <w:t>扱いのないもの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結果報告書の未確定事項を同報告書から読んでいること</w:t>
            </w:r>
          </w:p>
        </w:tc>
        <w:tc>
          <w:tcPr>
            <w:tcW w:type="dxa" w:w="3628"/>
            <w:vAlign w:val="center"/>
          </w:tcPr>
          <w:p>
            <w:pPr>
              <w:spacing w:after="0"/>
            </w:pPr>
            <w:r>
              <w:rPr>
                <w:rFonts w:ascii="游ゴシック" w:hAnsi="游ゴシック" w:eastAsia="游ゴシック"/>
                <w:b w:val="0"/>
                <w:sz w:val="18"/>
              </w:rPr>
              <w:t>9件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未確定事項の全件に確認主体が結び付いていること</w:t>
            </w:r>
          </w:p>
        </w:tc>
        <w:tc>
          <w:tcPr>
            <w:tcW w:type="dxa" w:w="3628"/>
            <w:shd w:val="clear" w:color="auto" w:fill="F2F5FA"/>
            <w:vAlign w:val="center"/>
          </w:tcPr>
          <w:p>
            <w:pPr>
              <w:spacing w:after="0"/>
            </w:pPr>
            <w:r>
              <w:rPr>
                <w:rFonts w:ascii="游ゴシック" w:hAnsi="游ゴシック" w:eastAsia="游ゴシック"/>
                <w:b w:val="0"/>
                <w:sz w:val="18"/>
              </w:rPr>
              <w:t>確認主体が「―」のもの 0件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点検で見つかった事項を受領点検から読んでいること</w:t>
            </w:r>
          </w:p>
        </w:tc>
        <w:tc>
          <w:tcPr>
            <w:tcW w:type="dxa" w:w="3628"/>
            <w:vAlign w:val="center"/>
          </w:tcPr>
          <w:p>
            <w:pPr>
              <w:spacing w:after="0"/>
            </w:pPr>
            <w:r>
              <w:rPr>
                <w:rFonts w:ascii="游ゴシック" w:hAnsi="游ゴシック" w:eastAsia="游ゴシック"/>
                <w:b w:val="0"/>
                <w:sz w:val="18"/>
              </w:rPr>
              <w:t>35件（重大6件）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確認主体の区分の和が全件に一致すること</w:t>
            </w:r>
          </w:p>
        </w:tc>
        <w:tc>
          <w:tcPr>
            <w:tcW w:type="dxa" w:w="3628"/>
            <w:shd w:val="clear" w:color="auto" w:fill="F2F5FA"/>
            <w:vAlign w:val="center"/>
          </w:tcPr>
          <w:p>
            <w:pPr>
              <w:spacing w:after="0"/>
            </w:pPr>
            <w:r>
              <w:rPr>
                <w:rFonts w:ascii="游ゴシック" w:hAnsi="游ゴシック" w:eastAsia="游ゴシック"/>
                <w:b w:val="0"/>
                <w:sz w:val="18"/>
              </w:rPr>
              <w:t>事業所22＋広域連合4＋受託者9＝35</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計画本文への反映方針を受領点検から読んでいること</w:t>
            </w:r>
          </w:p>
        </w:tc>
        <w:tc>
          <w:tcPr>
            <w:tcW w:type="dxa" w:w="3628"/>
            <w:vAlign w:val="center"/>
          </w:tcPr>
          <w:p>
            <w:pPr>
              <w:spacing w:after="0"/>
            </w:pPr>
            <w:r>
              <w:rPr>
                <w:rFonts w:ascii="游ゴシック" w:hAnsi="游ゴシック" w:eastAsia="游ゴシック"/>
                <w:b w:val="0"/>
                <w:sz w:val="18"/>
              </w:rPr>
              <w:t>9件（うち確認を要しないもの2件）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算定上の月額基準額が算定の値と一致すること</w:t>
            </w:r>
          </w:p>
        </w:tc>
        <w:tc>
          <w:tcPr>
            <w:tcW w:type="dxa" w:w="3628"/>
            <w:shd w:val="clear" w:color="auto" w:fill="F2F5FA"/>
            <w:vAlign w:val="center"/>
          </w:tcPr>
          <w:p>
            <w:pPr>
              <w:spacing w:after="0"/>
            </w:pPr>
            <w:r>
              <w:rPr>
                <w:rFonts w:ascii="游ゴシック" w:hAnsi="游ゴシック" w:eastAsia="游ゴシック"/>
                <w:b w:val="0"/>
                <w:sz w:val="18"/>
              </w:rPr>
              <w:t>6,438円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百円未満を四捨五入した基準額を示していること</w:t>
            </w:r>
          </w:p>
        </w:tc>
        <w:tc>
          <w:tcPr>
            <w:tcW w:type="dxa" w:w="3628"/>
            <w:vAlign w:val="center"/>
          </w:tcPr>
          <w:p>
            <w:pPr>
              <w:spacing w:after="0"/>
            </w:pPr>
            <w:r>
              <w:rPr>
                <w:rFonts w:ascii="游ゴシック" w:hAnsi="游ゴシック" w:eastAsia="游ゴシック"/>
                <w:b w:val="0"/>
                <w:sz w:val="18"/>
              </w:rPr>
              <w:t>6,400円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月額を動かす前提が据え置きの区分B・Cに一致すること</w:t>
            </w:r>
          </w:p>
        </w:tc>
        <w:tc>
          <w:tcPr>
            <w:tcW w:type="dxa" w:w="3628"/>
            <w:shd w:val="clear" w:color="auto" w:fill="F2F5FA"/>
            <w:vAlign w:val="center"/>
          </w:tcPr>
          <w:p>
            <w:pPr>
              <w:spacing w:after="0"/>
            </w:pPr>
            <w:r>
              <w:rPr>
                <w:rFonts w:ascii="游ゴシック" w:hAnsi="游ゴシック" w:eastAsia="游ゴシック"/>
                <w:b w:val="0"/>
                <w:sz w:val="18"/>
              </w:rPr>
              <w:t>B 15件・C 4件＝掲げた19件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13</w:t>
            </w:r>
          </w:p>
        </w:tc>
        <w:tc>
          <w:tcPr>
            <w:tcW w:type="dxa" w:w="4309"/>
            <w:vAlign w:val="center"/>
          </w:tcPr>
          <w:p>
            <w:pPr>
              <w:spacing w:after="0"/>
            </w:pPr>
            <w:r>
              <w:rPr>
                <w:rFonts w:ascii="游ゴシック" w:hAnsi="游ゴシック" w:eastAsia="游ゴシック"/>
                <w:b w:val="0"/>
                <w:sz w:val="18"/>
              </w:rPr>
              <w:t>資料提供依頼を業務工程管理表から読んでいること</w:t>
            </w:r>
          </w:p>
        </w:tc>
        <w:tc>
          <w:tcPr>
            <w:tcW w:type="dxa" w:w="3628"/>
            <w:vAlign w:val="center"/>
          </w:tcPr>
          <w:p>
            <w:pPr>
              <w:spacing w:after="0"/>
            </w:pPr>
            <w:r>
              <w:rPr>
                <w:rFonts w:ascii="游ゴシック" w:hAnsi="游ゴシック" w:eastAsia="游ゴシック"/>
                <w:b w:val="0"/>
                <w:sz w:val="18"/>
              </w:rPr>
              <w:t>全23件・未受領16件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14</w:t>
            </w:r>
          </w:p>
        </w:tc>
        <w:tc>
          <w:tcPr>
            <w:tcW w:type="dxa" w:w="4309"/>
            <w:shd w:val="clear" w:color="auto" w:fill="F2F5FA"/>
            <w:vAlign w:val="center"/>
          </w:tcPr>
          <w:p>
            <w:pPr>
              <w:spacing w:after="0"/>
            </w:pPr>
            <w:r>
              <w:rPr>
                <w:rFonts w:ascii="游ゴシック" w:hAnsi="游ゴシック" w:eastAsia="游ゴシック"/>
                <w:b w:val="0"/>
                <w:sz w:val="18"/>
              </w:rPr>
              <w:t>町ごとの確認事項が3町とも拾えていること</w:t>
            </w:r>
          </w:p>
        </w:tc>
        <w:tc>
          <w:tcPr>
            <w:tcW w:type="dxa" w:w="3628"/>
            <w:shd w:val="clear" w:color="auto" w:fill="F2F5FA"/>
            <w:vAlign w:val="center"/>
          </w:tcPr>
          <w:p>
            <w:pPr>
              <w:spacing w:after="0"/>
            </w:pPr>
            <w:r>
              <w:rPr>
                <w:rFonts w:ascii="游ゴシック" w:hAnsi="游ゴシック" w:eastAsia="游ゴシック"/>
                <w:b w:val="0"/>
                <w:sz w:val="18"/>
              </w:rPr>
              <w:t>東川町4件／美瑛町5件／東神楽町2件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15</w:t>
            </w:r>
          </w:p>
        </w:tc>
        <w:tc>
          <w:tcPr>
            <w:tcW w:type="dxa" w:w="4309"/>
            <w:vAlign w:val="center"/>
          </w:tcPr>
          <w:p>
            <w:pPr>
              <w:spacing w:after="0"/>
            </w:pPr>
            <w:r>
              <w:rPr>
                <w:rFonts w:ascii="游ゴシック" w:hAnsi="游ゴシック" w:eastAsia="游ゴシック"/>
                <w:b w:val="0"/>
                <w:sz w:val="18"/>
              </w:rPr>
              <w:t>工程を業務工程管理表から読んでいること</w:t>
            </w:r>
          </w:p>
        </w:tc>
        <w:tc>
          <w:tcPr>
            <w:tcW w:type="dxa" w:w="3628"/>
            <w:vAlign w:val="center"/>
          </w:tcPr>
          <w:p>
            <w:pPr>
              <w:spacing w:after="0"/>
            </w:pPr>
            <w:r>
              <w:rPr>
                <w:rFonts w:ascii="游ゴシック" w:hAnsi="游ゴシック" w:eastAsia="游ゴシック"/>
                <w:b w:val="0"/>
                <w:sz w:val="18"/>
              </w:rPr>
              <w:t>令和8年10月以降 6区分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16</w:t>
            </w:r>
          </w:p>
        </w:tc>
        <w:tc>
          <w:tcPr>
            <w:tcW w:type="dxa" w:w="4309"/>
            <w:shd w:val="clear" w:color="auto" w:fill="F2F5FA"/>
            <w:vAlign w:val="center"/>
          </w:tcPr>
          <w:p>
            <w:pPr>
              <w:spacing w:after="0"/>
            </w:pPr>
            <w:r>
              <w:rPr>
                <w:rFonts w:ascii="游ゴシック" w:hAnsi="游ゴシック" w:eastAsia="游ゴシック"/>
                <w:b w:val="0"/>
                <w:sz w:val="18"/>
              </w:rPr>
              <w:t>段取りを第2次概算の組立てから読んでいること</w:t>
            </w:r>
          </w:p>
        </w:tc>
        <w:tc>
          <w:tcPr>
            <w:tcW w:type="dxa" w:w="3628"/>
            <w:shd w:val="clear" w:color="auto" w:fill="F2F5FA"/>
            <w:vAlign w:val="center"/>
          </w:tcPr>
          <w:p>
            <w:pPr>
              <w:spacing w:after="0"/>
            </w:pPr>
            <w:r>
              <w:rPr>
                <w:rFonts w:ascii="游ゴシック" w:hAnsi="游ゴシック" w:eastAsia="游ゴシック"/>
                <w:b w:val="0"/>
                <w:sz w:val="18"/>
              </w:rPr>
              <w:t>8件（受託者6・発注者3・3町3）</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17</w:t>
            </w:r>
          </w:p>
        </w:tc>
        <w:tc>
          <w:tcPr>
            <w:tcW w:type="dxa" w:w="4309"/>
            <w:vAlign w:val="center"/>
          </w:tcPr>
          <w:p>
            <w:pPr>
              <w:spacing w:after="0"/>
            </w:pPr>
            <w:r>
              <w:rPr>
                <w:rFonts w:ascii="游ゴシック" w:hAnsi="游ゴシック" w:eastAsia="游ゴシック"/>
                <w:b w:val="0"/>
                <w:sz w:val="18"/>
              </w:rPr>
              <w:t>仮置きにより計画素案へ反映した件数が一致すること</w:t>
            </w:r>
          </w:p>
        </w:tc>
        <w:tc>
          <w:tcPr>
            <w:tcW w:type="dxa" w:w="3628"/>
            <w:vAlign w:val="center"/>
          </w:tcPr>
          <w:p>
            <w:pPr>
              <w:spacing w:after="0"/>
            </w:pPr>
            <w:r>
              <w:rPr>
                <w:rFonts w:ascii="游ゴシック" w:hAnsi="游ゴシック" w:eastAsia="游ゴシック"/>
                <w:b w:val="0"/>
                <w:sz w:val="18"/>
              </w:rPr>
              <w:t>38件</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18</w:t>
            </w:r>
          </w:p>
        </w:tc>
        <w:tc>
          <w:tcPr>
            <w:tcW w:type="dxa" w:w="4309"/>
            <w:shd w:val="clear" w:color="auto" w:fill="F2F5FA"/>
            <w:vAlign w:val="center"/>
          </w:tcPr>
          <w:p>
            <w:pPr>
              <w:spacing w:after="0"/>
            </w:pPr>
            <w:r>
              <w:rPr>
                <w:rFonts w:ascii="游ゴシック" w:hAnsi="游ゴシック" w:eastAsia="游ゴシック"/>
                <w:b w:val="0"/>
                <w:sz w:val="18"/>
              </w:rPr>
              <w:t>業務内容別の進捗の基準日が本資料の基準日と一致すること</w:t>
            </w:r>
          </w:p>
        </w:tc>
        <w:tc>
          <w:tcPr>
            <w:tcW w:type="dxa" w:w="3628"/>
            <w:shd w:val="clear" w:color="auto" w:fill="F2F5FA"/>
            <w:vAlign w:val="center"/>
          </w:tcPr>
          <w:p>
            <w:pPr>
              <w:spacing w:after="0"/>
            </w:pPr>
            <w:r>
              <w:rPr>
                <w:rFonts w:ascii="游ゴシック" w:hAnsi="游ゴシック" w:eastAsia="游ゴシック"/>
                <w:b w:val="0"/>
                <w:sz w:val="18"/>
              </w:rPr>
              <w:t>令和8年10月4日</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19</w:t>
            </w:r>
          </w:p>
        </w:tc>
        <w:tc>
          <w:tcPr>
            <w:tcW w:type="dxa" w:w="4309"/>
            <w:vAlign w:val="center"/>
          </w:tcPr>
          <w:p>
            <w:pPr>
              <w:spacing w:after="0"/>
            </w:pPr>
            <w:r>
              <w:rPr>
                <w:rFonts w:ascii="游ゴシック" w:hAnsi="游ゴシック" w:eastAsia="游ゴシック"/>
                <w:b w:val="0"/>
                <w:sz w:val="18"/>
              </w:rPr>
              <w:t>受託者の内部の仕組み・作業経過の語がないこと</w:t>
            </w:r>
          </w:p>
        </w:tc>
        <w:tc>
          <w:tcPr>
            <w:tcW w:type="dxa" w:w="3628"/>
            <w:vAlign w:val="center"/>
          </w:tcPr>
          <w:p>
            <w:pPr>
              <w:spacing w:after="0"/>
            </w:pPr>
            <w:r>
              <w:rPr>
                <w:rFonts w:ascii="游ゴシック" w:hAnsi="游ゴシック" w:eastAsia="游ゴシック"/>
                <w:b w:val="0"/>
                <w:sz w:val="18"/>
              </w:rPr>
              <w:t>当たった語 なし</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20</w:t>
            </w:r>
          </w:p>
        </w:tc>
        <w:tc>
          <w:tcPr>
            <w:tcW w:type="dxa" w:w="4309"/>
            <w:shd w:val="clear" w:color="auto" w:fill="F2F5FA"/>
            <w:vAlign w:val="center"/>
          </w:tcPr>
          <w:p>
            <w:pPr>
              <w:spacing w:after="0"/>
            </w:pPr>
            <w:r>
              <w:rPr>
                <w:rFonts w:ascii="游ゴシック" w:hAnsi="游ゴシック" w:eastAsia="游ゴシック"/>
                <w:b w:val="0"/>
                <w:sz w:val="18"/>
              </w:rPr>
              <w:t>禁止表現がないこと</w:t>
            </w:r>
          </w:p>
        </w:tc>
        <w:tc>
          <w:tcPr>
            <w:tcW w:type="dxa" w:w="3628"/>
            <w:shd w:val="clear" w:color="auto" w:fill="F2F5FA"/>
            <w:vAlign w:val="center"/>
          </w:tcPr>
          <w:p>
            <w:pPr>
              <w:spacing w:after="0"/>
            </w:pPr>
            <w:r>
              <w:rPr>
                <w:rFonts w:ascii="游ゴシック" w:hAnsi="游ゴシック" w:eastAsia="游ゴシック"/>
                <w:b w:val="0"/>
                <w:sz w:val="18"/>
              </w:rPr>
              <w:t>当たった語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21</w:t>
            </w:r>
          </w:p>
        </w:tc>
        <w:tc>
          <w:tcPr>
            <w:tcW w:type="dxa" w:w="4309"/>
            <w:vAlign w:val="center"/>
          </w:tcPr>
          <w:p>
            <w:pPr>
              <w:spacing w:after="0"/>
            </w:pPr>
            <w:r>
              <w:rPr>
                <w:rFonts w:ascii="游ゴシック" w:hAnsi="游ゴシック" w:eastAsia="游ゴシック"/>
                <w:b w:val="0"/>
                <w:sz w:val="18"/>
              </w:rPr>
              <w:t>電話番号・電子メールアドレスの形がないこと</w:t>
            </w:r>
          </w:p>
        </w:tc>
        <w:tc>
          <w:tcPr>
            <w:tcW w:type="dxa" w:w="3628"/>
            <w:vAlign w:val="center"/>
          </w:tcPr>
          <w:p>
            <w:pPr>
              <w:spacing w:after="0"/>
            </w:pPr>
            <w:r>
              <w:rPr>
                <w:rFonts w:ascii="游ゴシック" w:hAnsi="游ゴシック" w:eastAsia="游ゴシック"/>
                <w:b w:val="0"/>
                <w:sz w:val="18"/>
              </w:rPr>
              <w:t>当たった形 なし</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22</w:t>
            </w:r>
          </w:p>
        </w:tc>
        <w:tc>
          <w:tcPr>
            <w:tcW w:type="dxa" w:w="4309"/>
            <w:shd w:val="clear" w:color="auto" w:fill="F2F5FA"/>
            <w:vAlign w:val="center"/>
          </w:tcPr>
          <w:p>
            <w:pPr>
              <w:spacing w:after="0"/>
            </w:pPr>
            <w:r>
              <w:rPr>
                <w:rFonts w:ascii="游ゴシック" w:hAnsi="游ゴシック" w:eastAsia="游ゴシック"/>
                <w:b w:val="0"/>
                <w:sz w:val="18"/>
              </w:rPr>
              <w:t>許容する文字の外の文字がないこと</w:t>
            </w:r>
          </w:p>
        </w:tc>
        <w:tc>
          <w:tcPr>
            <w:tcW w:type="dxa" w:w="3628"/>
            <w:shd w:val="clear" w:color="auto" w:fill="F2F5FA"/>
            <w:vAlign w:val="center"/>
          </w:tcPr>
          <w:p>
            <w:pPr>
              <w:spacing w:after="0"/>
            </w:pPr>
            <w:r>
              <w:rPr>
                <w:rFonts w:ascii="游ゴシック" w:hAnsi="游ゴシック" w:eastAsia="游ゴシック"/>
                <w:b w:val="0"/>
                <w:sz w:val="18"/>
              </w:rPr>
              <w:t>当たった文字 なし</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23</w:t>
            </w:r>
          </w:p>
        </w:tc>
        <w:tc>
          <w:tcPr>
            <w:tcW w:type="dxa" w:w="4309"/>
            <w:vAlign w:val="center"/>
          </w:tcPr>
          <w:p>
            <w:pPr>
              <w:spacing w:after="0"/>
            </w:pPr>
            <w:r>
              <w:rPr>
                <w:rFonts w:ascii="游ゴシック" w:hAnsi="游ゴシック" w:eastAsia="游ゴシック"/>
                <w:b w:val="0"/>
                <w:sz w:val="18"/>
              </w:rPr>
              <w:t>差の表記に半角の符号を用いていないこと</w:t>
            </w:r>
          </w:p>
        </w:tc>
        <w:tc>
          <w:tcPr>
            <w:tcW w:type="dxa" w:w="3628"/>
            <w:vAlign w:val="center"/>
          </w:tcPr>
          <w:p>
            <w:pPr>
              <w:spacing w:after="0"/>
            </w:pPr>
            <w:r>
              <w:rPr>
                <w:rFonts w:ascii="游ゴシック" w:hAnsi="游ゴシック" w:eastAsia="游ゴシック"/>
                <w:b w:val="0"/>
                <w:sz w:val="18"/>
              </w:rPr>
              <w:t>当たった表記 なし</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24</w:t>
            </w:r>
          </w:p>
        </w:tc>
        <w:tc>
          <w:tcPr>
            <w:tcW w:type="dxa" w:w="4309"/>
            <w:shd w:val="clear" w:color="auto" w:fill="F2F5FA"/>
            <w:vAlign w:val="center"/>
          </w:tcPr>
          <w:p>
            <w:pPr>
              <w:spacing w:after="0"/>
            </w:pPr>
            <w:r>
              <w:rPr>
                <w:rFonts w:ascii="游ゴシック" w:hAnsi="游ゴシック" w:eastAsia="游ゴシック"/>
                <w:b w:val="0"/>
                <w:sz w:val="18"/>
              </w:rPr>
              <w:t>結果報告書の限界の件数を同報告書から数えていること</w:t>
            </w:r>
          </w:p>
        </w:tc>
        <w:tc>
          <w:tcPr>
            <w:tcW w:type="dxa" w:w="3628"/>
            <w:shd w:val="clear" w:color="auto" w:fill="F2F5FA"/>
            <w:vAlign w:val="center"/>
          </w:tcPr>
          <w:p>
            <w:pPr>
              <w:spacing w:after="0"/>
            </w:pPr>
            <w:r>
              <w:rPr>
                <w:rFonts w:ascii="游ゴシック" w:hAnsi="游ゴシック" w:eastAsia="游ゴシック"/>
                <w:b w:val="0"/>
                <w:sz w:val="18"/>
              </w:rPr>
              <w:t>11件</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680"/>
            <w:vAlign w:val="center"/>
          </w:tcPr>
          <w:p>
            <w:pPr>
              <w:spacing w:after="0"/>
              <w:jc w:val="center"/>
            </w:pPr>
            <w:r>
              <w:rPr>
                <w:rFonts w:ascii="游ゴシック" w:hAnsi="游ゴシック" w:eastAsia="游ゴシック"/>
                <w:b w:val="0"/>
                <w:sz w:val="18"/>
              </w:rPr>
              <w:t>25</w:t>
            </w:r>
          </w:p>
        </w:tc>
        <w:tc>
          <w:tcPr>
            <w:tcW w:type="dxa" w:w="4309"/>
            <w:vAlign w:val="center"/>
          </w:tcPr>
          <w:p>
            <w:pPr>
              <w:spacing w:after="0"/>
            </w:pPr>
            <w:r>
              <w:rPr>
                <w:rFonts w:ascii="游ゴシック" w:hAnsi="游ゴシック" w:eastAsia="游ゴシック"/>
                <w:b w:val="0"/>
                <w:sz w:val="18"/>
              </w:rPr>
              <w:t>別管理表の件数を同表から数えていること</w:t>
            </w:r>
          </w:p>
        </w:tc>
        <w:tc>
          <w:tcPr>
            <w:tcW w:type="dxa" w:w="3628"/>
            <w:vAlign w:val="center"/>
          </w:tcPr>
          <w:p>
            <w:pPr>
              <w:spacing w:after="0"/>
            </w:pPr>
            <w:r>
              <w:rPr>
                <w:rFonts w:ascii="游ゴシック" w:hAnsi="游ゴシック" w:eastAsia="游ゴシック"/>
                <w:b w:val="0"/>
                <w:sz w:val="18"/>
              </w:rPr>
              <w:t>A25件・B35件</w:t>
            </w:r>
          </w:p>
        </w:tc>
        <w:tc>
          <w:tcPr>
            <w:tcW w:type="dxa" w:w="1134"/>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