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解決済み（9件）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当方で一次資料を確認（7件）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町の回答・内部データが必要（48件）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通し番号1本（1〜72）に改めた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9件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7件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48件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1から72 まで欠番・重複なく区分</w:t>
            </w:r>
          </w:p>
        </w:tc>
        <w:tc>
          <w:tcPr>
            <w:tcW w:type="dxa" w:w="1361"/>
            <w:vAlign w:val="center"/>
          </w:tcPr>
          <w:p>
            <w:pPr>
              <w:spacing w:before="20" w:after="20"/>
            </w:pPr>
            <w:r>
              <w:rPr>
                <w:rFonts w:ascii="游ゴシック" w:hAnsi="游ゴシック" w:eastAsia="游ゴシック"/>
                <w:b/>
                <w:i w:val="0"/>
                <w:sz w:val="17"/>
              </w:rPr>
              <w:t>72件</w:t>
            </w:r>
          </w:p>
        </w:tc>
      </w:tr>
    </w:tbl>
    <w:p>
      <w:pPr>
        <w:spacing w:after="40"/>
      </w:pPr>
    </w:p>
    <w:p>
      <w:pPr>
        <w:spacing w:before="60" w:after="60"/>
      </w:pPr>
      <w:r>
        <w:rPr>
          <w:rFonts w:ascii="游ゴシック" w:hAnsi="游ゴシック" w:eastAsia="游ゴシック"/>
          <w:b/>
          <w:i w:val="0"/>
          <w:sz w:val="21"/>
        </w:rPr>
        <w:t>したがって、16件（Ａ・Ｂ）を照会から外し、8件（Ｃ）は照会の内容を縮め、48件（Ｄ）を回答のご依頼の対象とします。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解決済み（9件）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keepNext/>
              <w:spacing w:before="20" w:after="20"/>
            </w:pPr>
            <w:r>
              <w:rPr>
                <w:rFonts w:ascii="游ゴシック" w:hAnsi="游ゴシック" w:eastAsia="游ゴシック"/>
                <w:b w:val="0"/>
                <w:i w:val="0"/>
                <w:sz w:val="17"/>
              </w:rPr>
              <w:t>8</w:t>
            </w:r>
          </w:p>
        </w:tc>
        <w:tc>
          <w:tcPr>
            <w:tcW w:type="dxa" w:w="2494"/>
            <w:vAlign w:val="center"/>
          </w:tcPr>
          <w:p>
            <w:pPr>
              <w:keepNext/>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keepNext/>
              <w:spacing w:before="20" w:after="20"/>
            </w:pPr>
            <w:r>
              <w:rPr>
                <w:rFonts w:ascii="游ゴシック" w:hAnsi="游ゴシック" w:eastAsia="游ゴシック"/>
                <w:b w:val="0"/>
                <w:i w:val="0"/>
                <w:sz w:val="17"/>
              </w:rPr>
              <w:t>整合</w:t>
            </w:r>
          </w:p>
        </w:tc>
        <w:tc>
          <w:tcPr>
            <w:tcW w:type="dxa" w:w="1020"/>
            <w:vAlign w:val="center"/>
          </w:tcPr>
          <w:p>
            <w:pPr>
              <w:keepNext/>
              <w:spacing w:before="20" w:after="20"/>
            </w:pPr>
            <w:r>
              <w:rPr>
                <w:rFonts w:ascii="游ゴシック" w:hAnsi="游ゴシック" w:eastAsia="游ゴシック"/>
                <w:b w:val="0"/>
                <w:i w:val="0"/>
                <w:sz w:val="17"/>
              </w:rPr>
              <w:t>Ｄ-7・Ｃ-4</w:t>
            </w:r>
          </w:p>
        </w:tc>
        <w:tc>
          <w:tcPr>
            <w:tcW w:type="dxa" w:w="3628"/>
            <w:vAlign w:val="center"/>
          </w:tcPr>
          <w:p>
            <w:pPr>
              <w:keepNext/>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keepNext/>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当方で一次資料を確認（7件）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改正により第5項が新設され、現行第5項以降が1つ繰り下がる</w:t>
            </w:r>
            <w:r>
              <w:rPr>
                <w:rFonts w:ascii="游ゴシック" w:hAnsi="游ゴシック" w:eastAsia="游ゴシック"/>
                <w:b w:val="0"/>
                <w:i w:val="0"/>
                <w:sz w:val="17"/>
              </w:rPr>
              <w:t>（新旧対照条文で確認済み）。</w:t>
            </w:r>
            <w:r>
              <w:rPr>
                <w:rFonts w:ascii="游ゴシック" w:hAnsi="游ゴシック" w:eastAsia="游ゴシック"/>
                <w:b/>
                <w:i w:val="0"/>
                <w:sz w:val="17"/>
              </w:rPr>
              <w:t>どの項が何かは条文で確かめる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支援協議会の意見聴取（第88条第9項・第33条の20第9項）は新旧対照条文で確認済み。調和の規定は未確認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農林水産省「振興山村一覧表」</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15</w:t>
            </w:r>
          </w:p>
        </w:tc>
        <w:tc>
          <w:tcPr>
            <w:tcW w:type="dxa" w:w="2494"/>
            <w:vAlign w:val="center"/>
          </w:tcPr>
          <w:p>
            <w:pPr>
              <w:keepNext/>
              <w:spacing w:before="20" w:after="20"/>
            </w:pPr>
            <w:r>
              <w:rPr>
                <w:rFonts w:ascii="游ゴシック" w:hAnsi="游ゴシック" w:eastAsia="游ゴシック"/>
                <w:b w:val="0"/>
                <w:i w:val="0"/>
                <w:sz w:val="17"/>
              </w:rPr>
              <w:t>県計画 図表12−2−9 の介護施設定員の分類の取り方</w:t>
            </w:r>
          </w:p>
        </w:tc>
        <w:tc>
          <w:tcPr>
            <w:tcW w:type="dxa" w:w="794"/>
            <w:vAlign w:val="center"/>
          </w:tcPr>
          <w:p>
            <w:pPr>
              <w:keepNext/>
              <w:spacing w:before="20" w:after="20"/>
            </w:pPr>
            <w:r>
              <w:rPr>
                <w:rFonts w:ascii="游ゴシック" w:hAnsi="游ゴシック" w:eastAsia="游ゴシック"/>
                <w:b w:val="0"/>
                <w:i w:val="0"/>
                <w:sz w:val="17"/>
              </w:rPr>
              <w:t>記述</w:t>
            </w:r>
          </w:p>
        </w:tc>
        <w:tc>
          <w:tcPr>
            <w:tcW w:type="dxa" w:w="1020"/>
            <w:vAlign w:val="center"/>
          </w:tcPr>
          <w:p>
            <w:pPr>
              <w:keepNext/>
              <w:spacing w:before="20" w:after="20"/>
            </w:pPr>
            <w:r>
              <w:rPr>
                <w:rFonts w:ascii="游ゴシック" w:hAnsi="游ゴシック" w:eastAsia="游ゴシック"/>
                <w:b w:val="0"/>
                <w:i w:val="0"/>
                <w:sz w:val="17"/>
              </w:rPr>
              <w:t>Ｅ-2の一部</w:t>
            </w:r>
          </w:p>
        </w:tc>
        <w:tc>
          <w:tcPr>
            <w:tcW w:type="dxa" w:w="3628"/>
            <w:vAlign w:val="center"/>
          </w:tcPr>
          <w:p>
            <w:pPr>
              <w:keepNext/>
              <w:spacing w:before="20" w:after="20"/>
            </w:pPr>
            <w:r>
              <w:rPr>
                <w:rFonts w:ascii="游ゴシック" w:hAnsi="游ゴシック" w:eastAsia="游ゴシック"/>
                <w:b/>
                <w:i w:val="0"/>
                <w:sz w:val="17"/>
              </w:rPr>
              <w:t>見える化システムの分類を当方で確かめる。</w:t>
            </w:r>
            <w:r>
              <w:rPr>
                <w:rFonts w:ascii="游ゴシック" w:hAnsi="游ゴシック" w:eastAsia="游ゴシック"/>
                <w:b w:val="0"/>
                <w:i w:val="0"/>
                <w:sz w:val="17"/>
              </w:rPr>
              <w:t>町固有の事実（本町に介護医療院があるか）は番号34に残す</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福島県保健医療計画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県計画の現物で確かめる。</w:t>
            </w:r>
            <w:r>
              <w:rPr>
                <w:rFonts w:ascii="游ゴシック" w:hAnsi="游ゴシック" w:eastAsia="游ゴシック"/>
                <w:b w:val="0"/>
                <w:i w:val="0"/>
                <w:sz w:val="17"/>
              </w:rPr>
              <w:t>本町が当たるかは特定地域の論点と同じ構図</w:t>
            </w:r>
          </w:p>
        </w:tc>
        <w:tc>
          <w:tcPr>
            <w:tcW w:type="dxa" w:w="1247"/>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17</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23</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町の回答・内部データが必要（48件）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町37件（うちご判断をお願いするもの4件）、県11件です。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25</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val="0"/>
                <w:i w:val="0"/>
                <w:sz w:val="17"/>
              </w:rPr>
              <w:t>県の表に本町の介護医療院58人とあり、素案の地域密着型介護老人福祉施設58人と同じ数字。</w:t>
            </w:r>
            <w:r>
              <w:rPr>
                <w:rFonts w:ascii="游ゴシック" w:hAnsi="游ゴシック" w:eastAsia="游ゴシック"/>
                <w:b/>
                <w:i w:val="0"/>
                <w:sz w:val="17"/>
              </w:rPr>
              <w:t>どちらが誤りとも断定しない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第6章11（将来に向けたサービス提供体制の確保）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次の18件は、期限が日付で決まっています。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25</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66</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