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t>第3章　計画の基本理念・基本目標及び施策体系</w:t>
      </w:r>
      <w:bookmarkEnd w:id="23"/>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r>
        <w:rPr>
          <w:rFonts w:ascii="BIZ UDPゴシック" w:hAnsi="BIZ UDPゴシック" w:eastAsia="BIZ UDPゴシック"/>
          <w:b w:val="0"/>
          <w:sz w:val="21"/>
        </w:rPr>
        <w:t>１　基本理念</w:t>
      </w:r>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r>
        <w:rPr>
          <w:rFonts w:ascii="BIZ UDPゴシック" w:hAnsi="BIZ UDPゴシック" w:eastAsia="BIZ UDPゴシック"/>
          <w:b w:val="0"/>
          <w:sz w:val="21"/>
        </w:rPr>
        <w:t>２　基本目標</w:t>
      </w:r>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r>
        <w:rPr>
          <w:rFonts w:ascii="BIZ UDPゴシック" w:hAnsi="BIZ UDPゴシック" w:eastAsia="BIZ UDPゴシック"/>
          <w:b w:val="0"/>
          <w:sz w:val="21"/>
        </w:rPr>
        <w:t>３　施策体系と各施策の方向性</w:t>
      </w:r>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r>
        <w:rPr>
          <w:rFonts w:ascii="BIZ UDPゴシック" w:hAnsi="BIZ UDPゴシック" w:eastAsia="BIZ UDPゴシック"/>
          <w:b w:val="0"/>
          <w:sz w:val="21"/>
        </w:rPr>
        <w:t>４　第８期計画で加わる視点と施策体系の対応</w:t>
      </w:r>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r>
        <w:rPr>
          <w:rFonts w:ascii="BIZ UDPゴシック" w:hAnsi="BIZ UDPゴシック" w:eastAsia="BIZ UDPゴシック"/>
          <w:b w:val="0"/>
          <w:sz w:val="21"/>
        </w:rPr>
        <w:t>■　人材確保・定着の扱い</w:t>
      </w:r>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r>
        <w:rPr>
          <w:rFonts w:ascii="BIZ UDPゴシック" w:hAnsi="BIZ UDPゴシック" w:eastAsia="BIZ UDPゴシック"/>
          <w:b w:val="0"/>
          <w:sz w:val="21"/>
        </w:rPr>
        <w:t>５　第４次障がい者計画の目標値と進捗管理</w:t>
      </w:r>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このうちアンケートで測る指標は、本計画の策定に係るアンケート調査で対応する設問を確保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指標項目</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現状</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目標</w:t>
              <w:br/>
              <w:t>（令和11年度）</w:t>
            </w:r>
          </w:p>
        </w:tc>
        <w:tc>
          <w:tcPr>
            <w:tcW w:w="1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測定手段</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①啓発・広報</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差別や偏見を感じている障がいがある人の割合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25.3％</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②保健・医療</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特定健康診査の受診率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51.3％</w:t>
              <w:br/>
              <w:t>（令和４年度末）</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③福祉</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現在利用している福祉サービスに満足している人の割合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52％</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④教育・育成</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医療的ケア児の受入れ体制の整備</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無</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有</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⑤雇用・就業</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障がい者就労施設等からの物品調達件数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０件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３件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障がい者に配慮した公共施設トイレの設置率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56.8％</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個別避難計画の策定件数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１件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10件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⑦スポーツ・文化</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外出目的が趣味・スポーツ・グループ活動である人の割合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28.1％</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指標のうち、⑦スポーツ・文化の「外出目的が趣味・スポーツ・グループ活動である人の割合」については、前回調査（令和５年）に外出目的を尋ねる設問がありましたが、本計画の策定に係るアンケート調査票には対応する設問がありません（外出に関する設問は、頻度、外出時に困ること、移動手段の３問です）。このままでは同指標の経年比較ができないため、調査票の発送前に設問を追加するか、別の把握方法へ切り替えるかを村と協議のうえ確定してください。あわせて、中間年（令和８年度）における各指標の進捗状況を記載してください。</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p>
      <w:pPr>
        <w:pStyle w:val="3"/>
      </w:pPr>
      <w:r>
        <w:rPr>
          <w:rFonts w:ascii="BIZ UDPゴシック" w:hAnsi="BIZ UDPゴシック" w:eastAsia="BIZ UDPゴシック"/>
          <w:b w:val="0"/>
          <w:sz w:val="21"/>
        </w:rPr>
        <w:t>■　福島県の実績と本村の目標設定</w:t>
      </w:r>
    </w:p>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本村では、現行計画に令和５年度の１年以上長期入院者５人という実績があることから、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r>
        <w:rPr>
          <w:rFonts w:ascii="BIZ UDPゴシック" w:hAnsi="BIZ UDPゴシック" w:eastAsia="BIZ UDPゴシック"/>
          <w:b w:val="0"/>
          <w:sz w:val="21"/>
        </w:rPr>
        <w:t>１　見込量の推計方法</w:t>
      </w:r>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r>
        <w:rPr>
          <w:rFonts w:ascii="BIZ UDPゴシック" w:hAnsi="BIZ UDPゴシック" w:eastAsia="BIZ UDPゴシック"/>
          <w:b w:val="0"/>
          <w:sz w:val="21"/>
        </w:rPr>
        <w:t>■　算定方法の根拠となる基本指針の規定</w:t>
      </w:r>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個別積上げ方式を原則どおり採用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別表第五の算定方法は適用されず、本節の個別積上げ方式を原則として採用できます。</w:t>
            </w:r>
          </w:p>
        </w:tc>
      </w:tr>
    </w:tbl>
    <w:p/>
    <w:p>
      <w:pPr>
        <w:pStyle w:val="3"/>
      </w:pPr>
      <w:r>
        <w:rPr>
          <w:rFonts w:ascii="BIZ UDPゴシック" w:hAnsi="BIZ UDPゴシック" w:eastAsia="BIZ UDPゴシック"/>
          <w:b w:val="0"/>
          <w:sz w:val="21"/>
        </w:rPr>
        <w:t>■　推計の算式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r>
        <w:rPr>
          <w:rFonts w:ascii="BIZ UDPゴシック" w:hAnsi="BIZ UDPゴシック" w:eastAsia="BIZ UDPゴシック"/>
          <w:b w:val="0"/>
          <w:sz w:val="21"/>
        </w:rPr>
        <w:t>■　推計対象の３層</w:t>
      </w:r>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r>
        <w:rPr>
          <w:rFonts w:ascii="BIZ UDPゴシック" w:hAnsi="BIZ UDPゴシック" w:eastAsia="BIZ UDPゴシック"/>
          <w:b w:val="0"/>
          <w:sz w:val="21"/>
        </w:rPr>
        <w:t>■　利用希望量と利用可能量の区別</w:t>
      </w:r>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r>
        <w:rPr>
          <w:rFonts w:ascii="BIZ UDPゴシック" w:hAnsi="BIZ UDPゴシック" w:eastAsia="BIZ UDPゴシック"/>
          <w:b w:val="0"/>
          <w:sz w:val="21"/>
        </w:rPr>
        <w:t>２　年齢到達に伴うサービスの移行</w:t>
      </w:r>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r>
        <w:rPr>
          <w:rFonts w:ascii="BIZ UDPゴシック" w:hAnsi="BIZ UDPゴシック" w:eastAsia="BIZ UDPゴシック"/>
          <w:b w:val="0"/>
          <w:sz w:val="21"/>
        </w:rPr>
        <w:t>■　65歳到達時のサービスの区分</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r>
        <w:rPr>
          <w:rFonts w:ascii="BIZ UDPゴシック" w:hAnsi="BIZ UDPゴシック" w:eastAsia="BIZ UDPゴシック"/>
          <w:b w:val="0"/>
          <w:sz w:val="21"/>
        </w:rPr>
        <w:t>■　利用者負担の軽減</w:t>
      </w:r>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３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４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５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６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７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８　必要な見込量の確保のための方策</w:t>
      </w:r>
      <w:bookmarkEnd w:id="42"/>
    </w:p>
    <w:p>
      <w:pPr>
        <w:ind w:firstLine="210"/>
      </w:pPr>
      <w:r>
        <w:rPr>
          <w:rFonts w:ascii="BIZ UDPゴシック" w:hAnsi="BIZ UDPゴシック" w:eastAsia="BIZ UDPゴシック"/>
          <w:b w:val="0"/>
          <w:sz w:val="21"/>
        </w:rPr>
        <w:t>本村には障がい福祉サービスを提供する事業所がなく、会津北部圏域（猪苗代町・磐梯町・湯川村）及び近隣市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９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10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11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【要更新・要確認】本計画書の編集所管課の表記を確認してください。業務委託仕様書の事務担当は保健福祉課福祉係、現行計画における障がい者相談支援事業の実施主体は住民課と記載されています。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