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第13条が市町村認知症施策推進計画について定めています。同法は市町村を実施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市町村認知症施策推進計画は構成3町がそれぞれ策定します（第2節）。本計画との調和は資料2の役割分担及び共通KPIにより保ちます。都道府県認知症施策推進計画の策定の状況は［要確認］です。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