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10件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137段落・16表</w:t>
            </w:r>
          </w:p>
        </w:tc>
        <w:tc>
          <w:tcPr>
            <w:tcW w:type="dxa" w:w="794"/>
            <w:shd w:val="clear" w:color="auto" w:fill="F2F5FA"/>
            <w:vAlign w:val="center"/>
          </w:tcPr>
          <w:p>
            <w:pPr>
              <w:spacing w:after="0"/>
              <w:jc w:val="center"/>
            </w:pPr>
            <w:r>
              <w:rPr>
                <w:rFonts w:ascii="游ゴシック" w:hAnsi="游ゴシック" w:eastAsia="游ゴシック"/>
                <w:b w:val="0"/>
                <w:sz w:val="18"/>
              </w:rPr>
              <w:t>39件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926段落145表36図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docx が Markdown を解釈せずアスタリスクが本文に出た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割合の分母を取り違えていた</w:t>
            </w:r>
          </w:p>
        </w:tc>
        <w:tc>
          <w:tcPr>
            <w:tcW w:type="dxa" w:w="2608"/>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推計を実績のように書いていた</w:t>
            </w:r>
          </w:p>
        </w:tc>
        <w:tc>
          <w:tcPr>
            <w:tcW w:type="dxa" w:w="2608"/>
            <w:shd w:val="clear" w:color="auto" w:fill="F2F5FA"/>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shd w:val="clear" w:color="auto" w:fill="F2F5FA"/>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shd w:val="clear" w:color="auto" w:fill="F2F5FA"/>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vAlign w:val="center"/>
          </w:tcPr>
          <w:p>
            <w:pPr>
              <w:spacing w:after="0"/>
            </w:pPr>
            <w:r>
              <w:rPr>
                <w:rFonts w:ascii="游ゴシック" w:hAnsi="游ゴシック" w:eastAsia="游ゴシック"/>
                <w:b/>
                <w:sz w:val="18"/>
              </w:rPr>
              <w:t>同じ項目に2つの数値があった</w:t>
            </w:r>
          </w:p>
        </w:tc>
        <w:tc>
          <w:tcPr>
            <w:tcW w:type="dxa" w:w="2608"/>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存在しない章節を反映先としていた</w:t>
            </w:r>
          </w:p>
        </w:tc>
        <w:tc>
          <w:tcPr>
            <w:tcW w:type="dxa" w:w="2608"/>
            <w:shd w:val="clear" w:color="auto" w:fill="F2F5FA"/>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shd w:val="clear" w:color="auto" w:fill="F2F5FA"/>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shd w:val="clear" w:color="auto" w:fill="F2F5FA"/>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vAlign w:val="center"/>
          </w:tcPr>
          <w:p>
            <w:pPr>
              <w:spacing w:after="0"/>
            </w:pPr>
            <w:r>
              <w:rPr>
                <w:rFonts w:ascii="游ゴシック" w:hAnsi="游ゴシック" w:eastAsia="游ゴシック"/>
                <w:b/>
                <w:sz w:val="18"/>
              </w:rPr>
              <w:t>発注者提出用に当方の内部の仕組みが出ていた</w:t>
            </w:r>
          </w:p>
        </w:tc>
        <w:tc>
          <w:tcPr>
            <w:tcW w:type="dxa" w:w="2608"/>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shd w:val="clear" w:color="auto" w:fill="F2F5FA"/>
            <w:vAlign w:val="center"/>
          </w:tcPr>
          <w:p>
            <w:pPr>
              <w:spacing w:after="0"/>
            </w:pPr>
            <w:r>
              <w:rPr>
                <w:rFonts w:ascii="游ゴシック" w:hAnsi="游ゴシック" w:eastAsia="游ゴシック"/>
                <w:b/>
                <w:sz w:val="18"/>
              </w:rPr>
              <w:t>在籍と受給の表が12分の1になっていた</w:t>
            </w:r>
          </w:p>
        </w:tc>
        <w:tc>
          <w:tcPr>
            <w:tcW w:type="dxa" w:w="2608"/>
            <w:shd w:val="clear" w:color="auto" w:fill="F2F5FA"/>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shd w:val="clear" w:color="auto" w:fill="F2F5FA"/>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vAlign w:val="center"/>
          </w:tcPr>
          <w:p>
            <w:pPr>
              <w:spacing w:after="0"/>
            </w:pPr>
            <w:r>
              <w:rPr>
                <w:rFonts w:ascii="游ゴシック" w:hAnsi="游ゴシック" w:eastAsia="游ゴシック"/>
                <w:b/>
                <w:sz w:val="18"/>
              </w:rPr>
              <w:t>14シートの行が1件も読めなかった</w:t>
            </w:r>
          </w:p>
        </w:tc>
        <w:tc>
          <w:tcPr>
            <w:tcW w:type="dxa" w:w="2608"/>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割合の分母を回収票数のままにしていた</w:t>
            </w:r>
          </w:p>
        </w:tc>
        <w:tc>
          <w:tcPr>
            <w:tcW w:type="dxa" w:w="2608"/>
            <w:shd w:val="clear" w:color="auto" w:fill="F2F5FA"/>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shd w:val="clear" w:color="auto" w:fill="F2F5FA"/>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shd w:val="clear" w:color="auto" w:fill="F2F5FA"/>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vAlign w:val="center"/>
          </w:tcPr>
          <w:p>
            <w:pPr>
              <w:spacing w:after="0"/>
            </w:pPr>
            <w:r>
              <w:rPr>
                <w:rFonts w:ascii="游ゴシック" w:hAnsi="游ゴシック" w:eastAsia="游ゴシック"/>
                <w:b/>
                <w:sz w:val="18"/>
              </w:rPr>
              <w:t>要介護度の有効回答を別の設問の分母に流用していた</w:t>
            </w:r>
          </w:p>
        </w:tc>
        <w:tc>
          <w:tcPr>
            <w:tcW w:type="dxa" w:w="2608"/>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代表KPIの定義が計画素案の中で新旧併存していた</w:t>
            </w:r>
          </w:p>
        </w:tc>
        <w:tc>
          <w:tcPr>
            <w:tcW w:type="dxa" w:w="2608"/>
            <w:shd w:val="clear" w:color="auto" w:fill="F2F5FA"/>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shd w:val="clear" w:color="auto" w:fill="F2F5FA"/>
            <w:vAlign w:val="center"/>
          </w:tcPr>
          <w:p>
            <w:pPr>
              <w:spacing w:after="0"/>
            </w:pPr>
            <w:r>
              <w:rPr>
                <w:rFonts w:ascii="游ゴシック" w:hAnsi="游ゴシック" w:eastAsia="游ゴシック"/>
                <w:b w:val="0"/>
                <w:sz w:val="18"/>
              </w:rPr>
              <w:t>KPIの名称・定義・算式・基準値を表ごとに書いていた</w:t>
            </w:r>
          </w:p>
        </w:tc>
        <w:tc>
          <w:tcPr>
            <w:tcW w:type="dxa" w:w="3175"/>
            <w:shd w:val="clear" w:color="auto" w:fill="F2F5FA"/>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vAlign w:val="center"/>
          </w:tcPr>
          <w:p>
            <w:pPr>
              <w:spacing w:after="0"/>
            </w:pPr>
            <w:r>
              <w:rPr>
                <w:rFonts w:ascii="游ゴシック" w:hAnsi="游ゴシック" w:eastAsia="游ゴシック"/>
                <w:b/>
                <w:sz w:val="18"/>
              </w:rPr>
              <w:t>目標年度と未達幅が対応していなかった</w:t>
            </w:r>
          </w:p>
        </w:tc>
        <w:tc>
          <w:tcPr>
            <w:tcW w:type="dxa" w:w="2608"/>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同じKPI番号に別の調査の値を基準値として置いていた</w:t>
            </w:r>
          </w:p>
        </w:tc>
        <w:tc>
          <w:tcPr>
            <w:tcW w:type="dxa" w:w="2608"/>
            <w:shd w:val="clear" w:color="auto" w:fill="F2F5FA"/>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shd w:val="clear" w:color="auto" w:fill="F2F5FA"/>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shd w:val="clear" w:color="auto" w:fill="F2F5FA"/>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vAlign w:val="center"/>
          </w:tcPr>
          <w:p>
            <w:pPr>
              <w:spacing w:after="0"/>
            </w:pPr>
            <w:r>
              <w:rPr>
                <w:rFonts w:ascii="游ゴシック" w:hAnsi="游ゴシック" w:eastAsia="游ゴシック"/>
                <w:b/>
                <w:sz w:val="18"/>
              </w:rPr>
              <w:t>同じ割合に2つの分母があった</w:t>
            </w:r>
          </w:p>
        </w:tc>
        <w:tc>
          <w:tcPr>
            <w:tcW w:type="dxa" w:w="2608"/>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時点の違う値を足した割合を確定値として書いていた</w:t>
            </w:r>
          </w:p>
        </w:tc>
        <w:tc>
          <w:tcPr>
            <w:tcW w:type="dxa" w:w="2608"/>
            <w:shd w:val="clear" w:color="auto" w:fill="F2F5FA"/>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shd w:val="clear" w:color="auto" w:fill="F2F5FA"/>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shd w:val="clear" w:color="auto" w:fill="F2F5FA"/>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vAlign w:val="center"/>
          </w:tcPr>
          <w:p>
            <w:pPr>
              <w:spacing w:after="0"/>
            </w:pPr>
            <w:r>
              <w:rPr>
                <w:rFonts w:ascii="游ゴシック" w:hAnsi="游ゴシック" w:eastAsia="游ゴシック"/>
                <w:b/>
                <w:sz w:val="18"/>
              </w:rPr>
              <w:t>同じ「入所者」の語で3通りの数が現れていた</w:t>
            </w:r>
          </w:p>
        </w:tc>
        <w:tc>
          <w:tcPr>
            <w:tcW w:type="dxa" w:w="2608"/>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39件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926段落145表36図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21件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