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0"/>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pPr>
      <w:r>
        <w:rPr>
          <w:rFonts w:ascii="游ゴシック" w:hAnsi="游ゴシック" w:eastAsia="游ゴシック"/>
          <w:b w:val="0"/>
          <w:sz w:val="21"/>
        </w:rPr>
        <w:t>認知症施策については、共生社会の実現を推進するための認知症基本法（令和5年法律第65号）第13条が市町村認知症施策推進計画について定めています。同法は市町村を実施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【通常の事業の実施地域による確認】</w:t>
      </w:r>
    </w:p>
    <w:p>
      <w:pPr>
        <w:spacing w:after="80"/>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事業所数</w:t>
            </w:r>
          </w:p>
        </w:tc>
        <w:tc>
          <w:tcPr>
            <w:tcW w:type="dxa" w:w="907"/>
          </w:tcPr>
          <w:p>
            <w:r/>
            <w:r>
              <w:rPr>
                <w:rFonts w:ascii="游ゴシック" w:hAnsi="游ゴシック" w:eastAsia="游ゴシック"/>
                <w:b/>
                <w:sz w:val="17"/>
              </w:rPr>
              <w:t>東川町</w:t>
            </w:r>
          </w:p>
        </w:tc>
        <w:tc>
          <w:tcPr>
            <w:tcW w:type="dxa" w:w="907"/>
          </w:tcPr>
          <w:p>
            <w:r/>
            <w:r>
              <w:rPr>
                <w:rFonts w:ascii="游ゴシック" w:hAnsi="游ゴシック" w:eastAsia="游ゴシック"/>
                <w:b/>
                <w:sz w:val="17"/>
              </w:rPr>
              <w:t>美瑛町</w:t>
            </w:r>
          </w:p>
        </w:tc>
        <w:tc>
          <w:tcPr>
            <w:tcW w:type="dxa" w:w="1020"/>
          </w:tcPr>
          <w:p>
            <w:r/>
            <w:r>
              <w:rPr>
                <w:rFonts w:ascii="游ゴシック" w:hAnsi="游ゴシック" w:eastAsia="游ゴシック"/>
                <w:b/>
                <w:sz w:val="17"/>
              </w:rPr>
              <w:t>東神楽町</w:t>
            </w:r>
          </w:p>
        </w:tc>
        <w:tc>
          <w:tcPr>
            <w:tcW w:type="dxa" w:w="3515"/>
          </w:tcPr>
          <w:p>
            <w:r/>
            <w:r>
              <w:rPr>
                <w:rFonts w:ascii="游ゴシック" w:hAnsi="游ゴシック" w:eastAsia="游ゴシック"/>
                <w:b/>
                <w:sz w:val="17"/>
              </w:rPr>
              <w:t>見方</w:t>
            </w:r>
          </w:p>
        </w:tc>
      </w:tr>
      <w:t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jc w:val="right"/>
      </w:pPr>
      <w:r>
        <w:rPr>
          <w:rFonts w:ascii="游ゴシック" w:hAnsi="游ゴシック" w:eastAsia="游ゴシック"/>
          <w:b w:val="0"/>
          <w:sz w:val="17"/>
        </w:rPr>
        <w:t>資料：北海道　介護保険事業所一覧（運営規程の「通常の事業の実施地域」）</w:t>
      </w:r>
    </w:p>
    <w:p>
      <w:pPr>
        <w:spacing w:after="80"/>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pPr>
      <w:r>
        <w:rPr>
          <w:rFonts w:ascii="游ゴシック" w:hAnsi="游ゴシック" w:eastAsia="游ゴシック"/>
          <w:b w:val="0"/>
          <w:sz w:val="21"/>
        </w:rPr>
        <w:t>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市町村認知症施策推進計画は構成3町がそれぞれ策定します（第2節）。本計画との調和は資料2の役割分担及び共通KPIにより保ちます。都道府県認知症施策推進計画の策定の状況は［要確認］です。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改正事項</w:t>
            </w:r>
          </w:p>
        </w:tc>
        <w:tc>
          <w:tcPr>
            <w:tcW w:type="dxa" w:w="3835"/>
          </w:tcPr>
          <w:p>
            <w:r/>
            <w:r>
              <w:rPr>
                <w:rFonts w:ascii="游ゴシック" w:hAnsi="游ゴシック" w:eastAsia="游ゴシック"/>
                <w:b/>
                <w:sz w:val="17"/>
              </w:rPr>
              <w:t>内容</w:t>
            </w:r>
          </w:p>
        </w:tc>
        <w:tc>
          <w:tcPr>
            <w:tcW w:type="dxa" w:w="3506"/>
          </w:tcPr>
          <w:p>
            <w:r/>
            <w:r>
              <w:rPr>
                <w:rFonts w:ascii="游ゴシック" w:hAnsi="游ゴシック" w:eastAsia="游ゴシック"/>
                <w:b/>
                <w:sz w:val="17"/>
              </w:rPr>
              <w:t>本計画における取扱い</w:t>
            </w:r>
          </w:p>
        </w:tc>
      </w:tr>
      <w:t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【町別の要介護認定者数】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361"/>
          </w:tcPr>
          <w:p>
            <w:r/>
            <w:r>
              <w:rPr>
                <w:rFonts w:ascii="游ゴシック" w:hAnsi="游ゴシック" w:eastAsia="游ゴシック"/>
                <w:b/>
                <w:sz w:val="17"/>
              </w:rPr>
              <w:t>町</w:t>
            </w:r>
          </w:p>
        </w:tc>
        <w:tc>
          <w:tcPr>
            <w:tcW w:type="dxa" w:w="850"/>
          </w:tcPr>
          <w:p>
            <w:r/>
            <w:r>
              <w:rPr>
                <w:rFonts w:ascii="游ゴシック" w:hAnsi="游ゴシック" w:eastAsia="游ゴシック"/>
                <w:b/>
                <w:sz w:val="17"/>
              </w:rPr>
              <w:t>令和6年度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令和7年度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令和8年度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r>
      <w:t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jc w:val="right"/>
      </w:pPr>
      <w:r>
        <w:rPr>
          <w:rFonts w:ascii="游ゴシック" w:hAnsi="游ゴシック" w:eastAsia="游ゴシック"/>
          <w:b w:val="0"/>
          <w:sz w:val="17"/>
        </w:rPr>
        <w:t>資料：介護保険事業計画作成支援ツール（実績値入力シート）各年度末</w:t>
      </w:r>
    </w:p>
    <w:p>
      <w:pPr>
        <w:spacing w:after="80"/>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【町別の給付費の実績】</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361"/>
          </w:tcPr>
          <w:p>
            <w:r/>
            <w:r>
              <w:rPr>
                <w:rFonts w:ascii="游ゴシック" w:hAnsi="游ゴシック" w:eastAsia="游ゴシック"/>
                <w:b/>
                <w:sz w:val="17"/>
              </w:rPr>
              <w:t>町</w:t>
            </w:r>
          </w:p>
        </w:tc>
        <w:tc>
          <w:tcPr>
            <w:tcW w:type="dxa" w:w="1928"/>
          </w:tcPr>
          <w:p>
            <w:r/>
            <w:r>
              <w:rPr>
                <w:rFonts w:ascii="游ゴシック" w:hAnsi="游ゴシック" w:eastAsia="游ゴシック"/>
                <w:b/>
                <w:sz w:val="17"/>
              </w:rPr>
              <w:t>令和6年度</w:t>
            </w:r>
          </w:p>
        </w:tc>
        <w:tc>
          <w:tcPr>
            <w:tcW w:type="dxa" w:w="1134"/>
          </w:tcPr>
          <w:p>
            <w:r/>
            <w:r>
              <w:rPr>
                <w:rFonts w:ascii="游ゴシック" w:hAnsi="游ゴシック" w:eastAsia="游ゴシック"/>
                <w:b/>
                <w:sz w:val="17"/>
              </w:rPr>
              <w:t>構成比</w:t>
            </w:r>
          </w:p>
        </w:tc>
        <w:tc>
          <w:tcPr>
            <w:tcW w:type="dxa" w:w="1928"/>
          </w:tcPr>
          <w:p>
            <w:r/>
            <w:r>
              <w:rPr>
                <w:rFonts w:ascii="游ゴシック" w:hAnsi="游ゴシック" w:eastAsia="游ゴシック"/>
                <w:b/>
                <w:sz w:val="17"/>
              </w:rPr>
              <w:t>令和7年度</w:t>
            </w:r>
          </w:p>
        </w:tc>
        <w:tc>
          <w:tcPr>
            <w:tcW w:type="dxa" w:w="1134"/>
          </w:tcPr>
          <w:p>
            <w:r/>
            <w:r>
              <w:rPr>
                <w:rFonts w:ascii="游ゴシック" w:hAnsi="游ゴシック" w:eastAsia="游ゴシック"/>
                <w:b/>
                <w:sz w:val="17"/>
              </w:rPr>
              <w:t>構成比</w:t>
            </w:r>
          </w:p>
        </w:tc>
        <w:tc>
          <w:tcPr>
            <w:tcW w:type="dxa" w:w="1474"/>
          </w:tcPr>
          <w:p>
            <w:r/>
            <w:r>
              <w:rPr>
                <w:rFonts w:ascii="游ゴシック" w:hAnsi="游ゴシック" w:eastAsia="游ゴシック"/>
                <w:b/>
                <w:sz w:val="17"/>
              </w:rPr>
              <w:t>令和6→7年度</w:t>
            </w:r>
          </w:p>
        </w:tc>
      </w:tr>
      <w:t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jc w:val="right"/>
      </w:pPr>
      <w:r>
        <w:rPr>
          <w:rFonts w:ascii="游ゴシック" w:hAnsi="游ゴシック" w:eastAsia="游ゴシック"/>
          <w:b w:val="0"/>
          <w:sz w:val="17"/>
        </w:rPr>
        <w:t>資料：大雪地区広域連合　給付費データ集計（令和6年度・令和7年度）</w:t>
      </w:r>
    </w:p>
    <w:p>
      <w:pPr>
        <w:spacing w:after="160"/>
      </w:pPr>
      <w:r>
        <w:rPr>
          <w:rFonts w:ascii="游ゴシック" w:hAnsi="游ゴシック" w:eastAsia="游ゴシック"/>
          <w:b w:val="0"/>
          <w:sz w:val="17"/>
        </w:rPr>
        <w:t>注1）本表は3町のファイルの集計値であり、計は3町の合計です。令和6年度は広域連合単位のファイルの値と一致しますが、令和7年度は広域連合単位のファイルの値（3,083,474,291円）と129,580,267円の差があります。差は要介護度により1.7％から5.9％まで幅があり、月数の違いによる一様な差ではありません。</w:t>
        <w:br/>
        <w:t>注2）介護保険特別会計決算の保険給付費（令和6年度2,983,668,988円）とは対象範囲が異なります。保険料の算定には決算の値を用います（第6章第6節）。</w:t>
      </w:r>
    </w:p>
    <w:p>
      <w:pPr>
        <w:spacing w:after="80"/>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【リハビリテーション専門職の配置】</w:t>
      </w:r>
    </w:p>
    <w:p>
      <w:pPr>
        <w:spacing w:after="80"/>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306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020"/>
          </w:tcPr>
          <w:p>
            <w:r/>
            <w:r>
              <w:rPr>
                <w:rFonts w:ascii="游ゴシック" w:hAnsi="游ゴシック" w:eastAsia="游ゴシック"/>
                <w:b/>
                <w:sz w:val="17"/>
              </w:rPr>
              <w:t>実数</w:t>
            </w:r>
          </w:p>
        </w:tc>
        <w:tc>
          <w:tcPr>
            <w:tcW w:type="dxa" w:w="794"/>
          </w:tcPr>
          <w:p>
            <w:r/>
            <w:r>
              <w:rPr>
                <w:rFonts w:ascii="游ゴシック" w:hAnsi="游ゴシック" w:eastAsia="游ゴシック"/>
                <w:b/>
                <w:sz w:val="17"/>
              </w:rPr>
              <w:t>年度</w:t>
            </w:r>
          </w:p>
        </w:tc>
      </w:tr>
      <w:t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jc w:val="right"/>
      </w:pPr>
      <w:r>
        <w:rPr>
          <w:rFonts w:ascii="游ゴシック" w:hAnsi="游ゴシック" w:eastAsia="游ゴシック"/>
          <w:b w:val="0"/>
          <w:sz w:val="17"/>
        </w:rPr>
        <w:t>資料：地域包括ケア「見える化」システム M1系列・K3系列</w:t>
      </w:r>
    </w:p>
    <w:p>
      <w:pPr>
        <w:spacing w:after="160"/>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【リハビリテーション関係の加算の算定状況】</w:t>
      </w:r>
    </w:p>
    <w:p>
      <w:pPr>
        <w:spacing w:after="80"/>
      </w:pPr>
      <w:r>
        <w:rPr>
          <w:rFonts w:ascii="游ゴシック" w:hAnsi="游ゴシック" w:eastAsia="游ゴシック"/>
          <w:b w:val="0"/>
          <w:sz w:val="21"/>
        </w:rPr>
        <w:t>加算の算定状況をみると、11指標のうち6指標が全国の2倍以上です。とりわけ生活機能向上連携加算と入所前後訪問指導加算は、リハビリテーション専門職が居宅を訪問し生活環境を評価する取組であり、住宅改修の点検及び福祉用具の利用状況の点検に直接つながります（第5章 基本目標5）。</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6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c>
          <w:tcPr>
            <w:tcW w:type="dxa" w:w="794"/>
          </w:tcPr>
          <w:p>
            <w:r/>
            <w:r>
              <w:rPr>
                <w:rFonts w:ascii="游ゴシック" w:hAnsi="游ゴシック" w:eastAsia="游ゴシック"/>
                <w:b/>
                <w:sz w:val="17"/>
              </w:rPr>
              <w:t>年度</w:t>
            </w:r>
          </w:p>
        </w:tc>
      </w:tr>
      <w:tr>
        <w:tc>
          <w:tcPr>
            <w:tcW w:type="dxa" w:w="3628"/>
          </w:tcPr>
          <w:p>
            <w:r/>
            <w:r>
              <w:rPr>
                <w:rFonts w:ascii="游ゴシック" w:hAnsi="游ゴシック" w:eastAsia="游ゴシック"/>
                <w:sz w:val="17"/>
              </w:rPr>
              <w:t>リハビリテーションマネジメント加算Ⅱ以上</w:t>
            </w:r>
          </w:p>
        </w:tc>
        <w:tc>
          <w:tcPr>
            <w:tcW w:type="dxa" w:w="1247"/>
          </w:tcPr>
          <w:p>
            <w:r/>
            <w:r>
              <w:rPr>
                <w:rFonts w:ascii="游ゴシック" w:hAnsi="游ゴシック" w:eastAsia="游ゴシック"/>
                <w:sz w:val="17"/>
              </w:rPr>
              <w:t>842.40</w:t>
            </w:r>
          </w:p>
        </w:tc>
        <w:tc>
          <w:tcPr>
            <w:tcW w:type="dxa" w:w="1247"/>
          </w:tcPr>
          <w:p>
            <w:r/>
            <w:r>
              <w:rPr>
                <w:rFonts w:ascii="游ゴシック" w:hAnsi="游ゴシック" w:eastAsia="游ゴシック"/>
                <w:sz w:val="17"/>
              </w:rPr>
              <w:t>412.64</w:t>
            </w:r>
          </w:p>
        </w:tc>
        <w:tc>
          <w:tcPr>
            <w:tcW w:type="dxa" w:w="1247"/>
          </w:tcPr>
          <w:p>
            <w:r/>
            <w:r>
              <w:rPr>
                <w:rFonts w:ascii="游ゴシック" w:hAnsi="游ゴシック" w:eastAsia="游ゴシック"/>
                <w:sz w:val="17"/>
              </w:rPr>
              <w:t>317.09</w:t>
            </w:r>
          </w:p>
        </w:tc>
        <w:tc>
          <w:tcPr>
            <w:tcW w:type="dxa" w:w="1247"/>
          </w:tcPr>
          <w:p>
            <w:r/>
            <w:r>
              <w:rPr>
                <w:rFonts w:ascii="游ゴシック" w:hAnsi="游ゴシック" w:eastAsia="游ゴシック"/>
                <w:sz w:val="17"/>
              </w:rPr>
              <w:t>2.66</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個別リハビリテーション実施加算</w:t>
            </w:r>
          </w:p>
        </w:tc>
        <w:tc>
          <w:tcPr>
            <w:tcW w:type="dxa" w:w="1247"/>
          </w:tcPr>
          <w:p>
            <w:r/>
            <w:r>
              <w:rPr>
                <w:rFonts w:ascii="游ゴシック" w:hAnsi="游ゴシック" w:eastAsia="游ゴシック"/>
                <w:sz w:val="17"/>
              </w:rPr>
              <w:t>115.23</w:t>
            </w:r>
          </w:p>
        </w:tc>
        <w:tc>
          <w:tcPr>
            <w:tcW w:type="dxa" w:w="1247"/>
          </w:tcPr>
          <w:p>
            <w:r/>
            <w:r>
              <w:rPr>
                <w:rFonts w:ascii="游ゴシック" w:hAnsi="游ゴシック" w:eastAsia="游ゴシック"/>
                <w:sz w:val="17"/>
              </w:rPr>
              <w:t>38.12</w:t>
            </w:r>
          </w:p>
        </w:tc>
        <w:tc>
          <w:tcPr>
            <w:tcW w:type="dxa" w:w="1247"/>
          </w:tcPr>
          <w:p>
            <w:r/>
            <w:r>
              <w:rPr>
                <w:rFonts w:ascii="游ゴシック" w:hAnsi="游ゴシック" w:eastAsia="游ゴシック"/>
                <w:sz w:val="17"/>
              </w:rPr>
              <w:t>47.10</w:t>
            </w:r>
          </w:p>
        </w:tc>
        <w:tc>
          <w:tcPr>
            <w:tcW w:type="dxa" w:w="1247"/>
          </w:tcPr>
          <w:p>
            <w:r/>
            <w:r>
              <w:rPr>
                <w:rFonts w:ascii="游ゴシック" w:hAnsi="游ゴシック" w:eastAsia="游ゴシック"/>
                <w:sz w:val="17"/>
              </w:rPr>
              <w:t>2.45</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認知症短期集中リハビリテーション実施加算</w:t>
            </w:r>
          </w:p>
        </w:tc>
        <w:tc>
          <w:tcPr>
            <w:tcW w:type="dxa" w:w="1247"/>
          </w:tcPr>
          <w:p>
            <w:r/>
            <w:r>
              <w:rPr>
                <w:rFonts w:ascii="游ゴシック" w:hAnsi="游ゴシック" w:eastAsia="游ゴシック"/>
                <w:sz w:val="17"/>
              </w:rPr>
              <w:t>85.02</w:t>
            </w:r>
          </w:p>
        </w:tc>
        <w:tc>
          <w:tcPr>
            <w:tcW w:type="dxa" w:w="1247"/>
          </w:tcPr>
          <w:p>
            <w:r/>
            <w:r>
              <w:rPr>
                <w:rFonts w:ascii="游ゴシック" w:hAnsi="游ゴシック" w:eastAsia="游ゴシック"/>
                <w:sz w:val="17"/>
              </w:rPr>
              <w:t>33.67</w:t>
            </w:r>
          </w:p>
        </w:tc>
        <w:tc>
          <w:tcPr>
            <w:tcW w:type="dxa" w:w="1247"/>
          </w:tcPr>
          <w:p>
            <w:r/>
            <w:r>
              <w:rPr>
                <w:rFonts w:ascii="游ゴシック" w:hAnsi="游ゴシック" w:eastAsia="游ゴシック"/>
                <w:sz w:val="17"/>
              </w:rPr>
              <w:t>36.39</w:t>
            </w:r>
          </w:p>
        </w:tc>
        <w:tc>
          <w:tcPr>
            <w:tcW w:type="dxa" w:w="1247"/>
          </w:tcPr>
          <w:p>
            <w:r/>
            <w:r>
              <w:rPr>
                <w:rFonts w:ascii="游ゴシック" w:hAnsi="游ゴシック" w:eastAsia="游ゴシック"/>
                <w:sz w:val="17"/>
              </w:rPr>
              <w:t>2.34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生活機能向上連携加算</w:t>
            </w:r>
          </w:p>
        </w:tc>
        <w:tc>
          <w:tcPr>
            <w:tcW w:type="dxa" w:w="1247"/>
          </w:tcPr>
          <w:p>
            <w:r/>
            <w:r>
              <w:rPr>
                <w:rFonts w:ascii="游ゴシック" w:hAnsi="游ゴシック" w:eastAsia="游ゴシック"/>
                <w:sz w:val="17"/>
              </w:rPr>
              <w:t>493.27</w:t>
            </w:r>
          </w:p>
        </w:tc>
        <w:tc>
          <w:tcPr>
            <w:tcW w:type="dxa" w:w="1247"/>
          </w:tcPr>
          <w:p>
            <w:r/>
            <w:r>
              <w:rPr>
                <w:rFonts w:ascii="游ゴシック" w:hAnsi="游ゴシック" w:eastAsia="游ゴシック"/>
                <w:sz w:val="17"/>
              </w:rPr>
              <w:t>220.41</w:t>
            </w:r>
          </w:p>
        </w:tc>
        <w:tc>
          <w:tcPr>
            <w:tcW w:type="dxa" w:w="1247"/>
          </w:tcPr>
          <w:p>
            <w:r/>
            <w:r>
              <w:rPr>
                <w:rFonts w:ascii="游ゴシック" w:hAnsi="游ゴシック" w:eastAsia="游ゴシック"/>
                <w:sz w:val="17"/>
              </w:rPr>
              <w:t>219.86</w:t>
            </w:r>
          </w:p>
        </w:tc>
        <w:tc>
          <w:tcPr>
            <w:tcW w:type="dxa" w:w="1247"/>
          </w:tcPr>
          <w:p>
            <w:r/>
            <w:r>
              <w:rPr>
                <w:rFonts w:ascii="游ゴシック" w:hAnsi="游ゴシック" w:eastAsia="游ゴシック"/>
                <w:sz w:val="17"/>
              </w:rPr>
              <w:t>2.24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入所前後訪問指導加算</w:t>
            </w:r>
          </w:p>
        </w:tc>
        <w:tc>
          <w:tcPr>
            <w:tcW w:type="dxa" w:w="1247"/>
          </w:tcPr>
          <w:p>
            <w:r/>
            <w:r>
              <w:rPr>
                <w:rFonts w:ascii="游ゴシック" w:hAnsi="游ゴシック" w:eastAsia="游ゴシック"/>
                <w:sz w:val="17"/>
              </w:rPr>
              <w:t>28.51</w:t>
            </w:r>
          </w:p>
        </w:tc>
        <w:tc>
          <w:tcPr>
            <w:tcW w:type="dxa" w:w="1247"/>
          </w:tcPr>
          <w:p>
            <w:r/>
            <w:r>
              <w:rPr>
                <w:rFonts w:ascii="游ゴシック" w:hAnsi="游ゴシック" w:eastAsia="游ゴシック"/>
                <w:sz w:val="17"/>
              </w:rPr>
              <w:t>11.30</w:t>
            </w:r>
          </w:p>
        </w:tc>
        <w:tc>
          <w:tcPr>
            <w:tcW w:type="dxa" w:w="1247"/>
          </w:tcPr>
          <w:p>
            <w:r/>
            <w:r>
              <w:rPr>
                <w:rFonts w:ascii="游ゴシック" w:hAnsi="游ゴシック" w:eastAsia="游ゴシック"/>
                <w:sz w:val="17"/>
              </w:rPr>
              <w:t>13.55</w:t>
            </w:r>
          </w:p>
        </w:tc>
        <w:tc>
          <w:tcPr>
            <w:tcW w:type="dxa" w:w="1247"/>
          </w:tcPr>
          <w:p>
            <w:r/>
            <w:r>
              <w:rPr>
                <w:rFonts w:ascii="游ゴシック" w:hAnsi="游ゴシック" w:eastAsia="游ゴシック"/>
                <w:sz w:val="17"/>
              </w:rPr>
              <w:t>2.10</w:t>
            </w:r>
          </w:p>
        </w:tc>
        <w:tc>
          <w:tcPr>
            <w:tcW w:type="dxa" w:w="794"/>
          </w:tcPr>
          <w:p>
            <w:r/>
            <w:r>
              <w:rPr>
                <w:rFonts w:ascii="游ゴシック" w:hAnsi="游ゴシック" w:eastAsia="游ゴシック"/>
                <w:sz w:val="17"/>
              </w:rPr>
              <w:t>R元</w:t>
            </w:r>
          </w:p>
        </w:tc>
      </w:tr>
      <w:tr>
        <w:tc>
          <w:tcPr>
            <w:tcW w:type="dxa" w:w="3628"/>
          </w:tcPr>
          <w:p>
            <w:r/>
            <w:r>
              <w:rPr>
                <w:rFonts w:ascii="游ゴシック" w:hAnsi="游ゴシック" w:eastAsia="游ゴシック"/>
                <w:sz w:val="17"/>
              </w:rPr>
              <w:t>短期集中（個別）リハビリテーション実施加算</w:t>
            </w:r>
          </w:p>
        </w:tc>
        <w:tc>
          <w:tcPr>
            <w:tcW w:type="dxa" w:w="1247"/>
          </w:tcPr>
          <w:p>
            <w:r/>
            <w:r>
              <w:rPr>
                <w:rFonts w:ascii="游ゴシック" w:hAnsi="游ゴシック" w:eastAsia="游ゴシック"/>
                <w:sz w:val="17"/>
              </w:rPr>
              <w:t>200.67</w:t>
            </w:r>
          </w:p>
        </w:tc>
        <w:tc>
          <w:tcPr>
            <w:tcW w:type="dxa" w:w="1247"/>
          </w:tcPr>
          <w:p>
            <w:r/>
            <w:r>
              <w:rPr>
                <w:rFonts w:ascii="游ゴシック" w:hAnsi="游ゴシック" w:eastAsia="游ゴシック"/>
                <w:sz w:val="17"/>
              </w:rPr>
              <w:t>105.28</w:t>
            </w:r>
          </w:p>
        </w:tc>
        <w:tc>
          <w:tcPr>
            <w:tcW w:type="dxa" w:w="1247"/>
          </w:tcPr>
          <w:p>
            <w:r/>
            <w:r>
              <w:rPr>
                <w:rFonts w:ascii="游ゴシック" w:hAnsi="游ゴシック" w:eastAsia="游ゴシック"/>
                <w:sz w:val="17"/>
              </w:rPr>
              <w:t>130.12</w:t>
            </w:r>
          </w:p>
        </w:tc>
        <w:tc>
          <w:tcPr>
            <w:tcW w:type="dxa" w:w="1247"/>
          </w:tcPr>
          <w:p>
            <w:r/>
            <w:r>
              <w:rPr>
                <w:rFonts w:ascii="游ゴシック" w:hAnsi="游ゴシック" w:eastAsia="游ゴシック"/>
                <w:sz w:val="17"/>
              </w:rPr>
              <w:t>1.54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通所リハビリテーション（短時間）</w:t>
            </w:r>
          </w:p>
        </w:tc>
        <w:tc>
          <w:tcPr>
            <w:tcW w:type="dxa" w:w="1247"/>
          </w:tcPr>
          <w:p>
            <w:r/>
            <w:r>
              <w:rPr>
                <w:rFonts w:ascii="游ゴシック" w:hAnsi="游ゴシック" w:eastAsia="游ゴシック"/>
                <w:sz w:val="17"/>
              </w:rPr>
              <w:t>69.05</w:t>
            </w:r>
          </w:p>
        </w:tc>
        <w:tc>
          <w:tcPr>
            <w:tcW w:type="dxa" w:w="1247"/>
          </w:tcPr>
          <w:p>
            <w:r/>
            <w:r>
              <w:rPr>
                <w:rFonts w:ascii="游ゴシック" w:hAnsi="游ゴシック" w:eastAsia="游ゴシック"/>
                <w:sz w:val="17"/>
              </w:rPr>
              <w:t>52.74</w:t>
            </w:r>
          </w:p>
        </w:tc>
        <w:tc>
          <w:tcPr>
            <w:tcW w:type="dxa" w:w="1247"/>
          </w:tcPr>
          <w:p>
            <w:r/>
            <w:r>
              <w:rPr>
                <w:rFonts w:ascii="游ゴシック" w:hAnsi="游ゴシック" w:eastAsia="游ゴシック"/>
                <w:sz w:val="17"/>
              </w:rPr>
              <w:t>74.24</w:t>
            </w:r>
          </w:p>
        </w:tc>
        <w:tc>
          <w:tcPr>
            <w:tcW w:type="dxa" w:w="1247"/>
          </w:tcPr>
          <w:p>
            <w:r/>
            <w:r>
              <w:rPr>
                <w:rFonts w:ascii="游ゴシック" w:hAnsi="游ゴシック" w:eastAsia="游ゴシック"/>
                <w:sz w:val="17"/>
              </w:rPr>
              <w:t>0.93</w:t>
            </w:r>
          </w:p>
        </w:tc>
        <w:tc>
          <w:tcPr>
            <w:tcW w:type="dxa" w:w="794"/>
          </w:tcPr>
          <w:p>
            <w:r/>
            <w:r>
              <w:rPr>
                <w:rFonts w:ascii="游ゴシック" w:hAnsi="游ゴシック" w:eastAsia="游ゴシック"/>
                <w:sz w:val="17"/>
              </w:rPr>
              <w:t>R5</w:t>
            </w:r>
          </w:p>
        </w:tc>
      </w:tr>
    </w:tbl>
    <w:p>
      <w:pPr>
        <w:spacing w:after="160"/>
        <w:jc w:val="right"/>
      </w:pPr>
      <w:r>
        <w:rPr>
          <w:rFonts w:ascii="游ゴシック" w:hAnsi="游ゴシック" w:eastAsia="游ゴシック"/>
          <w:b w:val="0"/>
          <w:sz w:val="17"/>
        </w:rPr>
        <w:t>資料：地域包括ケア「見える化」システム N1〜N17系列</w:t>
      </w:r>
    </w:p>
    <w:p>
      <w:pPr>
        <w:spacing w:after="160"/>
      </w:pPr>
      <w:r>
        <w:rPr>
          <w:rFonts w:ascii="游ゴシック" w:hAnsi="游ゴシック" w:eastAsia="游ゴシック"/>
          <w:b w:val="0"/>
          <w:sz w:val="17"/>
        </w:rPr>
        <w:t>注）入所前後訪問指導加算は、介護老人保健施設の職員が入所の前後に居宅を訪問し、退所後の生活環境を確認して指導を行うものです。生活機能向上連携加算は、訪問介護・通所介護等の事業所がリハビリテーション専門職と連携して生活機能の向上を目的とした計画を作成するものです。</w:t>
      </w:r>
    </w:p>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【運営法人の状況】</w:t>
      </w:r>
    </w:p>
    <w:p>
      <w:pPr>
        <w:spacing w:after="80"/>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28"/>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事業所数</w:t>
            </w:r>
          </w:p>
        </w:tc>
        <w:tc>
          <w:tcPr>
            <w:tcW w:type="dxa" w:w="1928"/>
          </w:tcPr>
          <w:p>
            <w:r/>
            <w:r>
              <w:rPr>
                <w:rFonts w:ascii="游ゴシック" w:hAnsi="游ゴシック" w:eastAsia="游ゴシック"/>
                <w:b/>
                <w:sz w:val="17"/>
              </w:rPr>
              <w:t>実事業所に対する割合</w:t>
            </w:r>
          </w:p>
        </w:tc>
        <w:tc>
          <w:tcPr>
            <w:tcW w:type="dxa" w:w="2948"/>
          </w:tcPr>
          <w:p>
            <w:r/>
            <w:r>
              <w:rPr>
                <w:rFonts w:ascii="游ゴシック" w:hAnsi="游ゴシック" w:eastAsia="游ゴシック"/>
                <w:b/>
                <w:sz w:val="17"/>
              </w:rPr>
              <w:t>備考</w:t>
            </w:r>
          </w:p>
        </w:tc>
      </w:tr>
      <w:t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jc w:val="right"/>
      </w:pPr>
      <w:r>
        <w:rPr>
          <w:rFonts w:ascii="游ゴシック" w:hAnsi="游ゴシック" w:eastAsia="游ゴシック"/>
          <w:b w:val="0"/>
          <w:sz w:val="17"/>
        </w:rPr>
        <w:t>資料：北海道　介護保険事業所一覧（令和8年6月30日現在）</w:t>
      </w:r>
    </w:p>
    <w:p>
      <w:pPr>
        <w:spacing w:after="80"/>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【調査の対象者の範囲】</w:t>
      </w:r>
    </w:p>
    <w:p>
      <w:pPr>
        <w:spacing w:after="80"/>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【1　主要指標の状況】</w:t>
      </w:r>
    </w:p>
    <w:p>
      <w:pPr>
        <w:spacing w:after="80"/>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51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広域連合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【2　年齢構成の影響と町間の差】</w:t>
      </w:r>
    </w:p>
    <w:p>
      <w:pPr>
        <w:spacing w:after="80"/>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268"/>
          </w:tcPr>
          <w:p>
            <w:r/>
            <w:r>
              <w:rPr>
                <w:rFonts w:ascii="游ゴシック" w:hAnsi="游ゴシック" w:eastAsia="游ゴシック"/>
                <w:b/>
                <w:sz w:val="17"/>
              </w:rPr>
              <w:t>指標</w:t>
            </w:r>
          </w:p>
        </w:tc>
        <w:tc>
          <w:tcPr>
            <w:tcW w:type="dxa" w:w="1191"/>
          </w:tcPr>
          <w:p>
            <w:r/>
            <w:r>
              <w:rPr>
                <w:rFonts w:ascii="游ゴシック" w:hAnsi="游ゴシック" w:eastAsia="游ゴシック"/>
                <w:b/>
                <w:sz w:val="17"/>
              </w:rPr>
              <w:t>東川町</w:t>
              <w:br/>
              <w:t>粗率</w:t>
            </w:r>
          </w:p>
        </w:tc>
        <w:tc>
          <w:tcPr>
            <w:tcW w:type="dxa" w:w="1191"/>
          </w:tcPr>
          <w:p>
            <w:r/>
            <w:r>
              <w:rPr>
                <w:rFonts w:ascii="游ゴシック" w:hAnsi="游ゴシック" w:eastAsia="游ゴシック"/>
                <w:b/>
                <w:sz w:val="17"/>
              </w:rPr>
              <w:t>東川町</w:t>
              <w:br/>
              <w:t>調整</w:t>
            </w:r>
          </w:p>
        </w:tc>
        <w:tc>
          <w:tcPr>
            <w:tcW w:type="dxa" w:w="1191"/>
          </w:tcPr>
          <w:p>
            <w:r/>
            <w:r>
              <w:rPr>
                <w:rFonts w:ascii="游ゴシック" w:hAnsi="游ゴシック" w:eastAsia="游ゴシック"/>
                <w:b/>
                <w:sz w:val="17"/>
              </w:rPr>
              <w:t>美瑛町</w:t>
              <w:br/>
              <w:t>粗率</w:t>
            </w:r>
          </w:p>
        </w:tc>
        <w:tc>
          <w:tcPr>
            <w:tcW w:type="dxa" w:w="1191"/>
          </w:tcPr>
          <w:p>
            <w:r/>
            <w:r>
              <w:rPr>
                <w:rFonts w:ascii="游ゴシック" w:hAnsi="游ゴシック" w:eastAsia="游ゴシック"/>
                <w:b/>
                <w:sz w:val="17"/>
              </w:rPr>
              <w:t>美瑛町</w:t>
              <w:br/>
              <w:t>調整</w:t>
            </w:r>
          </w:p>
        </w:tc>
        <w:tc>
          <w:tcPr>
            <w:tcW w:type="dxa" w:w="1191"/>
          </w:tcPr>
          <w:p>
            <w:r/>
            <w:r>
              <w:rPr>
                <w:rFonts w:ascii="游ゴシック" w:hAnsi="游ゴシック" w:eastAsia="游ゴシック"/>
                <w:b/>
                <w:sz w:val="17"/>
              </w:rPr>
              <w:t>東神楽町</w:t>
              <w:br/>
              <w:t>粗率</w:t>
            </w:r>
          </w:p>
        </w:tc>
        <w:tc>
          <w:tcPr>
            <w:tcW w:type="dxa" w:w="1191"/>
          </w:tcPr>
          <w:p>
            <w:r/>
            <w:r>
              <w:rPr>
                <w:rFonts w:ascii="游ゴシック" w:hAnsi="游ゴシック" w:eastAsia="游ゴシック"/>
                <w:b/>
                <w:sz w:val="17"/>
              </w:rPr>
              <w:t>東神楽町</w:t>
              <w:br/>
              <w:t>調整</w:t>
            </w:r>
          </w:p>
        </w:tc>
      </w:tr>
      <w:t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【3　同規模の保険者との比較】</w:t>
      </w:r>
    </w:p>
    <w:p>
      <w:pPr>
        <w:spacing w:after="80"/>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70"/>
          </w:tcPr>
          <w:p>
            <w:r/>
            <w:r>
              <w:rPr>
                <w:rFonts w:ascii="游ゴシック" w:hAnsi="游ゴシック" w:eastAsia="游ゴシック"/>
                <w:b/>
                <w:sz w:val="17"/>
              </w:rPr>
              <w:t>指標</w:t>
            </w:r>
          </w:p>
        </w:tc>
        <w:tc>
          <w:tcPr>
            <w:tcW w:type="dxa" w:w="1274"/>
          </w:tcPr>
          <w:p>
            <w:r/>
            <w:r>
              <w:rPr>
                <w:rFonts w:ascii="游ゴシック" w:hAnsi="游ゴシック" w:eastAsia="游ゴシック"/>
                <w:b/>
                <w:sz w:val="17"/>
              </w:rPr>
              <w:t>大雪地区</w:t>
              <w:br/>
              <w:t>広域連合</w:t>
            </w:r>
          </w:p>
        </w:tc>
        <w:tc>
          <w:tcPr>
            <w:tcW w:type="dxa" w:w="1108"/>
          </w:tcPr>
          <w:p>
            <w:r/>
            <w:r>
              <w:rPr>
                <w:rFonts w:ascii="游ゴシック" w:hAnsi="游ゴシック" w:eastAsia="游ゴシック"/>
                <w:b/>
                <w:sz w:val="17"/>
              </w:rPr>
              <w:t>同規模</w:t>
            </w:r>
          </w:p>
        </w:tc>
        <w:tc>
          <w:tcPr>
            <w:tcW w:type="dxa" w:w="997"/>
          </w:tcPr>
          <w:p>
            <w:r/>
            <w:r>
              <w:rPr>
                <w:rFonts w:ascii="游ゴシック" w:hAnsi="游ゴシック" w:eastAsia="游ゴシック"/>
                <w:b/>
                <w:sz w:val="17"/>
              </w:rPr>
              <w:t>差</w:t>
            </w:r>
          </w:p>
        </w:tc>
        <w:tc>
          <w:tcPr>
            <w:tcW w:type="dxa" w:w="3601"/>
          </w:tcPr>
          <w:p>
            <w:r/>
            <w:r>
              <w:rPr>
                <w:rFonts w:ascii="游ゴシック" w:hAnsi="游ゴシック" w:eastAsia="游ゴシック"/>
                <w:b/>
                <w:sz w:val="17"/>
              </w:rPr>
              <w:t>内容</w:t>
            </w:r>
          </w:p>
        </w:tc>
      </w:tr>
      <w:t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【4　社会参加との関連】</w:t>
      </w:r>
    </w:p>
    <w:p>
      <w:pPr>
        <w:spacing w:after="80"/>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参加あり</w:t>
            </w:r>
          </w:p>
        </w:tc>
        <w:tc>
          <w:tcPr>
            <w:tcW w:type="dxa" w:w="1474"/>
          </w:tcPr>
          <w:p>
            <w:r/>
            <w:r>
              <w:rPr>
                <w:rFonts w:ascii="游ゴシック" w:hAnsi="游ゴシック" w:eastAsia="游ゴシック"/>
                <w:b/>
                <w:sz w:val="17"/>
              </w:rPr>
              <w:t>参加なし</w:t>
            </w:r>
          </w:p>
        </w:tc>
        <w:tc>
          <w:tcPr>
            <w:tcW w:type="dxa" w:w="1247"/>
          </w:tcPr>
          <w:p>
            <w:r/>
            <w:r>
              <w:rPr>
                <w:rFonts w:ascii="游ゴシック" w:hAnsi="游ゴシック" w:eastAsia="游ゴシック"/>
                <w:b/>
                <w:sz w:val="17"/>
              </w:rPr>
              <w:t>差</w:t>
            </w:r>
          </w:p>
        </w:tc>
        <w:tc>
          <w:tcPr>
            <w:tcW w:type="dxa" w:w="2041"/>
          </w:tcPr>
          <w:p>
            <w:r/>
            <w:r>
              <w:rPr>
                <w:rFonts w:ascii="游ゴシック" w:hAnsi="游ゴシック" w:eastAsia="游ゴシック"/>
                <w:b/>
                <w:sz w:val="17"/>
              </w:rPr>
              <w:t>検定</w:t>
            </w:r>
          </w:p>
        </w:tc>
      </w:tr>
      <w:t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【5　暮らし向きとの関連】</w:t>
      </w:r>
    </w:p>
    <w:p>
      <w:pPr>
        <w:spacing w:after="80"/>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494"/>
          </w:tcPr>
          <w:p>
            <w:r/>
            <w:r>
              <w:rPr>
                <w:rFonts w:ascii="游ゴシック" w:hAnsi="游ゴシック" w:eastAsia="游ゴシック"/>
                <w:b/>
                <w:sz w:val="17"/>
              </w:rPr>
              <w:t>指標</w:t>
            </w:r>
          </w:p>
        </w:tc>
        <w:tc>
          <w:tcPr>
            <w:tcW w:type="dxa" w:w="1134"/>
          </w:tcPr>
          <w:p>
            <w:r/>
            <w:r>
              <w:rPr>
                <w:rFonts w:ascii="游ゴシック" w:hAnsi="游ゴシック" w:eastAsia="游ゴシック"/>
                <w:b/>
                <w:sz w:val="17"/>
              </w:rPr>
              <w:t>大変苦しい</w:t>
            </w:r>
          </w:p>
        </w:tc>
        <w:tc>
          <w:tcPr>
            <w:tcW w:type="dxa" w:w="1134"/>
          </w:tcPr>
          <w:p>
            <w:r/>
            <w:r>
              <w:rPr>
                <w:rFonts w:ascii="游ゴシック" w:hAnsi="游ゴシック" w:eastAsia="游ゴシック"/>
                <w:b/>
                <w:sz w:val="17"/>
              </w:rPr>
              <w:t>やや苦しい</w:t>
            </w:r>
          </w:p>
        </w:tc>
        <w:tc>
          <w:tcPr>
            <w:tcW w:type="dxa" w:w="1077"/>
          </w:tcPr>
          <w:p>
            <w:r/>
            <w:r>
              <w:rPr>
                <w:rFonts w:ascii="游ゴシック" w:hAnsi="游ゴシック" w:eastAsia="游ゴシック"/>
                <w:b/>
                <w:sz w:val="17"/>
              </w:rPr>
              <w:t>ふつう</w:t>
            </w:r>
          </w:p>
        </w:tc>
        <w:tc>
          <w:tcPr>
            <w:tcW w:type="dxa" w:w="1304"/>
          </w:tcPr>
          <w:p>
            <w:r/>
            <w:r>
              <w:rPr>
                <w:rFonts w:ascii="游ゴシック" w:hAnsi="游ゴシック" w:eastAsia="游ゴシック"/>
                <w:b/>
                <w:sz w:val="17"/>
              </w:rPr>
              <w:t>ややゆとりがある</w:t>
            </w:r>
          </w:p>
        </w:tc>
        <w:tc>
          <w:tcPr>
            <w:tcW w:type="dxa" w:w="1304"/>
          </w:tcPr>
          <w:p>
            <w:r/>
            <w:r>
              <w:rPr>
                <w:rFonts w:ascii="游ゴシック" w:hAnsi="游ゴシック" w:eastAsia="游ゴシック"/>
                <w:b/>
                <w:sz w:val="17"/>
              </w:rPr>
              <w:t>大変ゆとりがある</w:t>
            </w:r>
          </w:p>
        </w:tc>
        <w:tc>
          <w:tcPr>
            <w:tcW w:type="dxa" w:w="1077"/>
          </w:tcPr>
          <w:p>
            <w:r/>
            <w:r>
              <w:rPr>
                <w:rFonts w:ascii="游ゴシック" w:hAnsi="游ゴシック" w:eastAsia="游ゴシック"/>
                <w:b/>
                <w:sz w:val="17"/>
              </w:rPr>
              <w:t>検定</w:t>
            </w:r>
          </w:p>
        </w:tc>
      </w:tr>
      <w:t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【6　生活実態の主な値】</w:t>
      </w:r>
    </w:p>
    <w:p>
      <w:pPr>
        <w:spacing w:after="80"/>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175"/>
          </w:tcPr>
          <w:p>
            <w:r/>
            <w:r>
              <w:rPr>
                <w:rFonts w:ascii="游ゴシック" w:hAnsi="游ゴシック" w:eastAsia="游ゴシック"/>
                <w:b/>
                <w:sz w:val="17"/>
              </w:rPr>
              <w:t>項目</w:t>
            </w:r>
          </w:p>
        </w:tc>
        <w:tc>
          <w:tcPr>
            <w:tcW w:type="dxa" w:w="1020"/>
          </w:tcPr>
          <w:p>
            <w:r/>
            <w:r>
              <w:rPr>
                <w:rFonts w:ascii="游ゴシック" w:hAnsi="游ゴシック" w:eastAsia="游ゴシック"/>
                <w:b/>
                <w:sz w:val="17"/>
              </w:rPr>
              <w:t>割合</w:t>
            </w:r>
          </w:p>
        </w:tc>
        <w:tc>
          <w:tcPr>
            <w:tcW w:type="dxa" w:w="1020"/>
          </w:tcPr>
          <w:p>
            <w:r/>
            <w:r>
              <w:rPr>
                <w:rFonts w:ascii="游ゴシック" w:hAnsi="游ゴシック" w:eastAsia="游ゴシック"/>
                <w:b/>
                <w:sz w:val="17"/>
              </w:rPr>
              <w:t>分母</w:t>
            </w:r>
          </w:p>
        </w:tc>
        <w:tc>
          <w:tcPr>
            <w:tcW w:type="dxa" w:w="4195"/>
          </w:tcPr>
          <w:p>
            <w:r/>
            <w:r>
              <w:rPr>
                <w:rFonts w:ascii="游ゴシック" w:hAnsi="游ゴシック" w:eastAsia="游ゴシック"/>
                <w:b/>
                <w:sz w:val="17"/>
              </w:rPr>
              <w:t>内容</w:t>
            </w:r>
          </w:p>
        </w:tc>
      </w:tr>
      <w:t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【7　地区別の状況】</w:t>
      </w:r>
    </w:p>
    <w:p>
      <w:pPr>
        <w:spacing w:after="80"/>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41"/>
          </w:tcPr>
          <w:p>
            <w:r/>
            <w:r>
              <w:rPr>
                <w:rFonts w:ascii="游ゴシック" w:hAnsi="游ゴシック" w:eastAsia="游ゴシック"/>
                <w:b/>
                <w:sz w:val="17"/>
              </w:rPr>
              <w:t>町</w:t>
            </w:r>
          </w:p>
        </w:tc>
        <w:tc>
          <w:tcPr>
            <w:tcW w:type="dxa" w:w="2327"/>
          </w:tcPr>
          <w:p>
            <w:r/>
            <w:r>
              <w:rPr>
                <w:rFonts w:ascii="游ゴシック" w:hAnsi="游ゴシック" w:eastAsia="游ゴシック"/>
                <w:b/>
                <w:sz w:val="17"/>
              </w:rPr>
              <w:t>地区</w:t>
            </w:r>
          </w:p>
        </w:tc>
        <w:tc>
          <w:tcPr>
            <w:tcW w:type="dxa" w:w="1108"/>
          </w:tcPr>
          <w:p>
            <w:r/>
            <w:r>
              <w:rPr>
                <w:rFonts w:ascii="游ゴシック" w:hAnsi="游ゴシック" w:eastAsia="游ゴシック"/>
                <w:b/>
                <w:sz w:val="17"/>
              </w:rPr>
              <w:t>回答者数</w:t>
            </w:r>
          </w:p>
        </w:tc>
        <w:tc>
          <w:tcPr>
            <w:tcW w:type="dxa" w:w="1219"/>
          </w:tcPr>
          <w:p>
            <w:r/>
            <w:r>
              <w:rPr>
                <w:rFonts w:ascii="游ゴシック" w:hAnsi="游ゴシック" w:eastAsia="游ゴシック"/>
                <w:b/>
                <w:sz w:val="17"/>
              </w:rPr>
              <w:t>75歳以上</w:t>
              <w:br/>
              <w:t>構成比</w:t>
            </w:r>
          </w:p>
        </w:tc>
        <w:tc>
          <w:tcPr>
            <w:tcW w:type="dxa" w:w="1219"/>
          </w:tcPr>
          <w:p>
            <w:r/>
            <w:r>
              <w:rPr>
                <w:rFonts w:ascii="游ゴシック" w:hAnsi="游ゴシック" w:eastAsia="游ゴシック"/>
                <w:b/>
                <w:sz w:val="17"/>
              </w:rPr>
              <w:t>フレイル</w:t>
              <w:br/>
              <w:t>あり割合</w:t>
            </w:r>
          </w:p>
        </w:tc>
        <w:tc>
          <w:tcPr>
            <w:tcW w:type="dxa" w:w="1219"/>
          </w:tcPr>
          <w:p>
            <w:r/>
            <w:r>
              <w:rPr>
                <w:rFonts w:ascii="游ゴシック" w:hAnsi="游ゴシック" w:eastAsia="游ゴシック"/>
                <w:b/>
                <w:sz w:val="17"/>
              </w:rPr>
              <w:t>閉じこもり</w:t>
              <w:br/>
              <w:t>者割合</w:t>
            </w:r>
          </w:p>
        </w:tc>
        <w:tc>
          <w:tcPr>
            <w:tcW w:type="dxa" w:w="1219"/>
          </w:tcPr>
          <w:p>
            <w:r/>
            <w:r>
              <w:rPr>
                <w:rFonts w:ascii="游ゴシック" w:hAnsi="游ゴシック" w:eastAsia="游ゴシック"/>
                <w:b/>
                <w:sz w:val="17"/>
              </w:rPr>
              <w:t>社会参加</w:t>
              <w:br/>
              <w:t>あり割合</w:t>
            </w:r>
          </w:p>
        </w:tc>
      </w:tr>
      <w:t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587"/>
          </w:tcPr>
          <w:p>
            <w:r/>
            <w:r>
              <w:rPr>
                <w:rFonts w:ascii="游ゴシック" w:hAnsi="游ゴシック" w:eastAsia="游ゴシック"/>
                <w:b/>
                <w:sz w:val="17"/>
              </w:rPr>
              <w:t>種目</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134"/>
          </w:tcPr>
          <w:p>
            <w:r/>
            <w:r>
              <w:rPr>
                <w:rFonts w:ascii="游ゴシック" w:hAnsi="游ゴシック" w:eastAsia="游ゴシック"/>
                <w:b/>
                <w:sz w:val="17"/>
              </w:rPr>
              <w:t>大雪／北海道</w:t>
            </w:r>
          </w:p>
        </w:tc>
        <w:tc>
          <w:tcPr>
            <w:tcW w:type="dxa" w:w="2494"/>
          </w:tcPr>
          <w:p>
            <w:r/>
            <w:r>
              <w:rPr>
                <w:rFonts w:ascii="游ゴシック" w:hAnsi="游ゴシック" w:eastAsia="游ゴシック"/>
                <w:b/>
                <w:sz w:val="17"/>
              </w:rPr>
              <w:t>備考</w:t>
            </w:r>
          </w:p>
        </w:tc>
      </w:tr>
      <w:t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 N18-a〜N18-h（令和元年度）</w:t>
      </w:r>
    </w:p>
    <w:p>
      <w:pPr>
        <w:spacing w:after="160"/>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【介護給付費の適正化（第7期給付適正化計画）】</w:t>
      </w:r>
    </w:p>
    <w:p>
      <w:pPr>
        <w:spacing w:after="80"/>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主要3事業</w:t>
            </w:r>
          </w:p>
        </w:tc>
        <w:tc>
          <w:tcPr>
            <w:tcW w:type="dxa" w:w="3402"/>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令和9年度</w:t>
            </w:r>
          </w:p>
        </w:tc>
        <w:tc>
          <w:tcPr>
            <w:tcW w:type="dxa" w:w="1361"/>
          </w:tcPr>
          <w:p>
            <w:r/>
            <w:r>
              <w:rPr>
                <w:rFonts w:ascii="游ゴシック" w:hAnsi="游ゴシック" w:eastAsia="游ゴシック"/>
                <w:b/>
                <w:sz w:val="17"/>
              </w:rPr>
              <w:t>令和10年度</w:t>
            </w:r>
          </w:p>
        </w:tc>
        <w:tc>
          <w:tcPr>
            <w:tcW w:type="dxa" w:w="1361"/>
          </w:tcPr>
          <w:p>
            <w:r/>
            <w:r>
              <w:rPr>
                <w:rFonts w:ascii="游ゴシック" w:hAnsi="游ゴシック" w:eastAsia="游ゴシック"/>
                <w:b/>
                <w:sz w:val="17"/>
              </w:rPr>
              <w:t>令和11年度</w:t>
            </w:r>
          </w:p>
        </w:tc>
      </w:tr>
      <w:t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【要介護度別の認定者数】</w:t>
      </w:r>
    </w:p>
    <w:p>
      <w:pPr>
        <w:spacing w:after="80"/>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70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R7（実績）</w:t>
            </w:r>
          </w:p>
        </w:tc>
        <w:tc>
          <w:tcPr>
            <w:tcW w:type="dxa" w:w="1304"/>
          </w:tcPr>
          <w:p>
            <w:r/>
            <w:r>
              <w:rPr>
                <w:rFonts w:ascii="游ゴシック" w:hAnsi="游ゴシック" w:eastAsia="游ゴシック"/>
                <w:b/>
                <w:sz w:val="17"/>
              </w:rPr>
              <w:t>R9</w:t>
            </w:r>
          </w:p>
        </w:tc>
        <w:tc>
          <w:tcPr>
            <w:tcW w:type="dxa" w:w="1304"/>
          </w:tcPr>
          <w:p>
            <w:r/>
            <w:r>
              <w:rPr>
                <w:rFonts w:ascii="游ゴシック" w:hAnsi="游ゴシック" w:eastAsia="游ゴシック"/>
                <w:b/>
                <w:sz w:val="17"/>
              </w:rPr>
              <w:t>R10</w:t>
            </w:r>
          </w:p>
        </w:tc>
        <w:tc>
          <w:tcPr>
            <w:tcW w:type="dxa" w:w="1304"/>
          </w:tcPr>
          <w:p>
            <w:r/>
            <w:r>
              <w:rPr>
                <w:rFonts w:ascii="游ゴシック" w:hAnsi="游ゴシック" w:eastAsia="游ゴシック"/>
                <w:b/>
                <w:sz w:val="17"/>
              </w:rPr>
              <w:t>R11</w:t>
            </w:r>
          </w:p>
        </w:tc>
        <w:tc>
          <w:tcPr>
            <w:tcW w:type="dxa" w:w="1304"/>
          </w:tcPr>
          <w:p>
            <w:r/>
            <w:r>
              <w:rPr>
                <w:rFonts w:ascii="游ゴシック" w:hAnsi="游ゴシック" w:eastAsia="游ゴシック"/>
                <w:b/>
                <w:sz w:val="17"/>
              </w:rPr>
              <w:t>R17</w:t>
            </w:r>
          </w:p>
        </w:tc>
        <w:tc>
          <w:tcPr>
            <w:tcW w:type="dxa" w:w="1304"/>
          </w:tcPr>
          <w:p>
            <w:r/>
            <w:r>
              <w:rPr>
                <w:rFonts w:ascii="游ゴシック" w:hAnsi="游ゴシック" w:eastAsia="游ゴシック"/>
                <w:b/>
                <w:sz w:val="17"/>
              </w:rPr>
              <w:t>R22</w:t>
            </w:r>
          </w:p>
        </w:tc>
      </w:tr>
      <w:t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6,436円で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【見込量の算定方法】</w:t>
      </w:r>
    </w:p>
    <w:p>
      <w:pPr>
        <w:spacing w:after="80"/>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R7実績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R7実績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180" w:after="100"/>
      </w:pPr>
      <w:r>
        <w:rPr>
          <w:rFonts w:ascii="游ゴシック" w:hAnsi="游ゴシック" w:eastAsia="游ゴシック"/>
          <w:sz w:val="22"/>
        </w:rPr>
        <w:t>（3）施設サービス</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R7実績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180" w:after="100"/>
      </w:pPr>
      <w:r>
        <w:rPr>
          <w:rFonts w:ascii="游ゴシック" w:hAnsi="游ゴシック" w:eastAsia="游ゴシック"/>
          <w:sz w:val="22"/>
        </w:rPr>
        <w:t>（4）利用回（日）数</w:t>
      </w:r>
    </w:p>
    <w:p>
      <w:pPr>
        <w:spacing w:after="80"/>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134"/>
          </w:tcPr>
          <w:p>
            <w:r/>
            <w:r>
              <w:rPr>
                <w:rFonts w:ascii="游ゴシック" w:hAnsi="游ゴシック" w:eastAsia="游ゴシック"/>
                <w:b/>
                <w:sz w:val="17"/>
              </w:rPr>
              <w:t>R7実績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020"/>
          </w:tcPr>
          <w:p>
            <w:r/>
            <w:r>
              <w:rPr>
                <w:rFonts w:ascii="游ゴシック" w:hAnsi="游ゴシック" w:eastAsia="游ゴシック"/>
                <w:b/>
                <w:sz w:val="17"/>
              </w:rPr>
              <w:t>R17</w:t>
            </w:r>
          </w:p>
        </w:tc>
        <w:tc>
          <w:tcPr>
            <w:tcW w:type="dxa" w:w="1020"/>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【利用回（日）数】</w:t>
      </w:r>
    </w:p>
    <w:p>
      <w:pPr>
        <w:spacing w:after="80"/>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72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1077"/>
          </w:tcPr>
          <w:p>
            <w:r/>
            <w:r>
              <w:rPr>
                <w:rFonts w:ascii="游ゴシック" w:hAnsi="游ゴシック" w:eastAsia="游ゴシック"/>
                <w:b/>
                <w:sz w:val="17"/>
              </w:rPr>
              <w:t>R7実績</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R17</w:t>
            </w:r>
          </w:p>
        </w:tc>
        <w:tc>
          <w:tcPr>
            <w:tcW w:type="dxa" w:w="96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資料：厚生労働省「介護保険事業状況報告」年報（令和7年度）様式1の7</w:t>
      </w:r>
    </w:p>
    <w:p>
      <w:pPr>
        <w:spacing w:after="160"/>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R7実績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2,978.3</w:t>
            </w:r>
          </w:p>
        </w:tc>
        <w:tc>
          <w:tcPr>
            <w:tcW w:type="dxa" w:w="1035"/>
          </w:tcPr>
          <w:p>
            <w:r/>
            <w:r>
              <w:rPr>
                <w:rFonts w:ascii="游ゴシック" w:hAnsi="游ゴシック" w:eastAsia="游ゴシック"/>
                <w:sz w:val="17"/>
              </w:rPr>
              <w:t>3,010.5</w:t>
            </w:r>
          </w:p>
        </w:tc>
        <w:tc>
          <w:tcPr>
            <w:tcW w:type="dxa" w:w="1035"/>
          </w:tcPr>
          <w:p>
            <w:r/>
            <w:r>
              <w:rPr>
                <w:rFonts w:ascii="游ゴシック" w:hAnsi="游ゴシック" w:eastAsia="游ゴシック"/>
                <w:sz w:val="17"/>
              </w:rPr>
              <w:t>3,043.2</w:t>
            </w:r>
          </w:p>
        </w:tc>
        <w:tc>
          <w:tcPr>
            <w:tcW w:type="dxa" w:w="1198"/>
          </w:tcPr>
          <w:p>
            <w:r/>
            <w:r>
              <w:rPr>
                <w:rFonts w:ascii="游ゴシック" w:hAnsi="游ゴシック" w:eastAsia="游ゴシック"/>
                <w:sz w:val="17"/>
              </w:rPr>
              <w:t>9,031.9</w:t>
            </w:r>
          </w:p>
        </w:tc>
        <w:tc>
          <w:tcPr>
            <w:tcW w:type="dxa" w:w="1035"/>
          </w:tcPr>
          <w:p>
            <w:r/>
            <w:r>
              <w:rPr>
                <w:rFonts w:ascii="游ゴシック" w:hAnsi="游ゴシック" w:eastAsia="游ゴシック"/>
                <w:sz w:val="17"/>
              </w:rPr>
              <w:t>3,310.1</w:t>
            </w:r>
          </w:p>
        </w:tc>
        <w:tc>
          <w:tcPr>
            <w:tcW w:type="dxa" w:w="1035"/>
          </w:tcPr>
          <w:p>
            <w:r/>
            <w:r>
              <w:rPr>
                <w:rFonts w:ascii="游ゴシック" w:hAnsi="游ゴシック" w:eastAsia="游ゴシック"/>
                <w:sz w:val="17"/>
              </w:rPr>
              <w:t>3,408.9</w:t>
            </w:r>
          </w:p>
        </w:tc>
      </w:tr>
    </w:tbl>
    <w:p>
      <w:pPr>
        <w:spacing w:after="160"/>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spacing w:after="60"/>
      </w:pPr>
      <w:r>
        <w:rPr>
          <w:rFonts w:ascii="游ゴシック" w:hAnsi="游ゴシック" w:eastAsia="游ゴシック"/>
          <w:b/>
          <w:sz w:val="20"/>
        </w:rPr>
        <w:t>【介護予防・日常生活支援総合事業の量の見込み】</w:t>
      </w:r>
    </w:p>
    <w:p>
      <w:pPr>
        <w:spacing w:after="80"/>
      </w:pPr>
      <w:r>
        <w:rPr>
          <w:rFonts w:ascii="游ゴシック" w:hAnsi="游ゴシック" w:eastAsia="游ゴシック"/>
          <w:b w:val="0"/>
          <w:sz w:val="20"/>
        </w:rPr>
        <w:t>介護保険法第117条第2項第2号は、地域支援事業の量の見込みを掲げることを求めています。令和7年度の総合事業の実績は受領していない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835"/>
          </w:tcPr>
          <w:p>
            <w:r/>
            <w:r>
              <w:rPr>
                <w:rFonts w:ascii="游ゴシック" w:hAnsi="游ゴシック" w:eastAsia="游ゴシック"/>
                <w:b/>
                <w:sz w:val="17"/>
              </w:rPr>
              <w:t>事業</w:t>
            </w:r>
          </w:p>
        </w:tc>
        <w:tc>
          <w:tcPr>
            <w:tcW w:type="dxa" w:w="680"/>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R6実績</w:t>
            </w:r>
          </w:p>
        </w:tc>
        <w:tc>
          <w:tcPr>
            <w:tcW w:type="dxa" w:w="1020"/>
          </w:tcPr>
          <w:p>
            <w:r/>
            <w:r>
              <w:rPr>
                <w:rFonts w:ascii="游ゴシック" w:hAnsi="游ゴシック" w:eastAsia="游ゴシック"/>
                <w:b/>
                <w:sz w:val="17"/>
              </w:rPr>
              <w:t>R9</w:t>
            </w:r>
          </w:p>
        </w:tc>
        <w:tc>
          <w:tcPr>
            <w:tcW w:type="dxa" w:w="1020"/>
          </w:tcPr>
          <w:p>
            <w:r/>
            <w:r>
              <w:rPr>
                <w:rFonts w:ascii="游ゴシック" w:hAnsi="游ゴシック" w:eastAsia="游ゴシック"/>
                <w:b/>
                <w:sz w:val="17"/>
              </w:rPr>
              <w:t>R10</w:t>
            </w:r>
          </w:p>
        </w:tc>
        <w:tc>
          <w:tcPr>
            <w:tcW w:type="dxa" w:w="1020"/>
          </w:tcPr>
          <w:p>
            <w:r/>
            <w:r>
              <w:rPr>
                <w:rFonts w:ascii="游ゴシック" w:hAnsi="游ゴシック" w:eastAsia="游ゴシック"/>
                <w:b/>
                <w:sz w:val="17"/>
              </w:rPr>
              <w:t>R11</w:t>
            </w:r>
          </w:p>
        </w:tc>
        <w:tc>
          <w:tcPr>
            <w:tcW w:type="dxa" w:w="1814"/>
          </w:tcPr>
          <w:p>
            <w:r/>
            <w:r>
              <w:rPr>
                <w:rFonts w:ascii="游ゴシック" w:hAnsi="游ゴシック" w:eastAsia="游ゴシック"/>
                <w:b/>
                <w:sz w:val="17"/>
              </w:rPr>
              <w:t>延ばし方</w:t>
            </w:r>
          </w:p>
        </w:tc>
      </w:tr>
      <w:t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jc w:val="right"/>
      </w:pPr>
      <w:r>
        <w:rPr>
          <w:rFonts w:ascii="游ゴシック" w:hAnsi="游ゴシック" w:eastAsia="游ゴシック"/>
          <w:b w:val="0"/>
          <w:sz w:val="17"/>
        </w:rPr>
        <w:t>資料：介護保険事業計画作成支援ツール（構成3町の令和6年度実績）</w:t>
      </w:r>
    </w:p>
    <w:p>
      <w:pPr>
        <w:spacing w:after="160"/>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注2）令和7年度の総合事業の実績を受領した時点で置き直します。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【地域支援事業費】</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494"/>
          </w:tcPr>
          <w:p>
            <w:r/>
            <w:r>
              <w:rPr>
                <w:rFonts w:ascii="游ゴシック" w:hAnsi="游ゴシック" w:eastAsia="游ゴシック"/>
                <w:b/>
                <w:sz w:val="17"/>
              </w:rPr>
              <w:t>区分（決算科目）</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R9</w:t>
            </w:r>
          </w:p>
        </w:tc>
        <w:tc>
          <w:tcPr>
            <w:tcW w:type="dxa" w:w="737"/>
          </w:tcPr>
          <w:p>
            <w:r/>
            <w:r>
              <w:rPr>
                <w:rFonts w:ascii="游ゴシック" w:hAnsi="游ゴシック" w:eastAsia="游ゴシック"/>
                <w:b/>
                <w:sz w:val="17"/>
              </w:rPr>
              <w:t>R10</w:t>
            </w:r>
          </w:p>
        </w:tc>
        <w:tc>
          <w:tcPr>
            <w:tcW w:type="dxa" w:w="737"/>
          </w:tcPr>
          <w:p>
            <w:r/>
            <w:r>
              <w:rPr>
                <w:rFonts w:ascii="游ゴシック" w:hAnsi="游ゴシック" w:eastAsia="游ゴシック"/>
                <w:b/>
                <w:sz w:val="17"/>
              </w:rPr>
              <w:t>R11</w:t>
            </w:r>
          </w:p>
        </w:tc>
        <w:tc>
          <w:tcPr>
            <w:tcW w:type="dxa" w:w="850"/>
          </w:tcPr>
          <w:p>
            <w:r/>
            <w:r>
              <w:rPr>
                <w:rFonts w:ascii="游ゴシック" w:hAnsi="游ゴシック" w:eastAsia="游ゴシック"/>
                <w:b/>
                <w:sz w:val="17"/>
              </w:rPr>
              <w:t>第10期計</w:t>
            </w:r>
          </w:p>
        </w:tc>
        <w:tc>
          <w:tcPr>
            <w:tcW w:type="dxa" w:w="2041"/>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pStyle w:val="Heading3"/>
        <w:spacing w:before="180" w:after="100"/>
      </w:pPr>
      <w:r>
        <w:rPr>
          <w:rFonts w:ascii="游ゴシック" w:hAnsi="游ゴシック" w:eastAsia="游ゴシック"/>
          <w:sz w:val="22"/>
        </w:rPr>
        <w:t>3　総給付費等</w:t>
      </w:r>
    </w:p>
    <w:p>
      <w:pPr>
        <w:spacing w:after="20"/>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9,031.9</w:t>
            </w:r>
          </w:p>
        </w:tc>
        <w:tc>
          <w:tcPr>
            <w:tcW w:type="dxa" w:w="1001"/>
          </w:tcPr>
          <w:p>
            <w:r/>
            <w:r>
              <w:rPr>
                <w:rFonts w:ascii="游ゴシック" w:hAnsi="游ゴシック" w:eastAsia="游ゴシック"/>
                <w:sz w:val="17"/>
              </w:rPr>
              <w:t>2,978.3</w:t>
            </w:r>
          </w:p>
        </w:tc>
        <w:tc>
          <w:tcPr>
            <w:tcW w:type="dxa" w:w="1001"/>
          </w:tcPr>
          <w:p>
            <w:r/>
            <w:r>
              <w:rPr>
                <w:rFonts w:ascii="游ゴシック" w:hAnsi="游ゴシック" w:eastAsia="游ゴシック"/>
                <w:sz w:val="17"/>
              </w:rPr>
              <w:t>3,010.5</w:t>
            </w:r>
          </w:p>
        </w:tc>
        <w:tc>
          <w:tcPr>
            <w:tcW w:type="dxa" w:w="1001"/>
          </w:tcPr>
          <w:p>
            <w:r/>
            <w:r>
              <w:rPr>
                <w:rFonts w:ascii="游ゴシック" w:hAnsi="游ゴシック" w:eastAsia="游ゴシック"/>
                <w:sz w:val="17"/>
              </w:rPr>
              <w:t>3,043.2</w:t>
            </w:r>
          </w:p>
        </w:tc>
        <w:tc>
          <w:tcPr>
            <w:tcW w:type="dxa" w:w="1001"/>
          </w:tcPr>
          <w:p>
            <w:r/>
            <w:r>
              <w:rPr>
                <w:rFonts w:ascii="游ゴシック" w:hAnsi="游ゴシック" w:eastAsia="游ゴシック"/>
                <w:sz w:val="17"/>
              </w:rPr>
              <w:t>3,310.1</w:t>
            </w:r>
          </w:p>
        </w:tc>
        <w:tc>
          <w:tcPr>
            <w:tcW w:type="dxa" w:w="1001"/>
          </w:tcPr>
          <w:p>
            <w:r/>
            <w:r>
              <w:rPr>
                <w:rFonts w:ascii="游ゴシック" w:hAnsi="游ゴシック" w:eastAsia="游ゴシック"/>
                <w:sz w:val="17"/>
              </w:rPr>
              <w:t>3,408.9</w:t>
            </w:r>
          </w:p>
        </w:tc>
        <w:tc>
          <w:tcPr>
            <w:tcW w:type="dxa" w:w="1581"/>
          </w:tcPr>
          <w:p>
            <w:r/>
            <w:r>
              <w:rPr>
                <w:rFonts w:ascii="游ゴシック" w:hAnsi="游ゴシック" w:eastAsia="游ゴシック"/>
                <w:sz w:val="17"/>
              </w:rPr>
              <w:t>令和7年度の実績×要介護度別の認定者数の伸び</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9,565.6</w:t>
            </w:r>
          </w:p>
        </w:tc>
        <w:tc>
          <w:tcPr>
            <w:tcW w:type="dxa" w:w="1001"/>
          </w:tcPr>
          <w:p>
            <w:r/>
            <w:r>
              <w:rPr>
                <w:rFonts w:ascii="游ゴシック" w:hAnsi="游ゴシック" w:eastAsia="游ゴシック"/>
                <w:sz w:val="17"/>
              </w:rPr>
              <w:t>3,154.3</w:t>
            </w:r>
          </w:p>
        </w:tc>
        <w:tc>
          <w:tcPr>
            <w:tcW w:type="dxa" w:w="1001"/>
          </w:tcPr>
          <w:p>
            <w:r/>
            <w:r>
              <w:rPr>
                <w:rFonts w:ascii="游ゴシック" w:hAnsi="游ゴシック" w:eastAsia="游ゴシック"/>
                <w:sz w:val="17"/>
              </w:rPr>
              <w:t>3,188.4</w:t>
            </w:r>
          </w:p>
        </w:tc>
        <w:tc>
          <w:tcPr>
            <w:tcW w:type="dxa" w:w="1001"/>
          </w:tcPr>
          <w:p>
            <w:r/>
            <w:r>
              <w:rPr>
                <w:rFonts w:ascii="游ゴシック" w:hAnsi="游ゴシック" w:eastAsia="游ゴシック"/>
                <w:sz w:val="17"/>
              </w:rPr>
              <w:t>3,223.0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10,097.1</w:t>
            </w:r>
          </w:p>
        </w:tc>
        <w:tc>
          <w:tcPr>
            <w:tcW w:type="dxa" w:w="1001"/>
          </w:tcPr>
          <w:p>
            <w:r/>
            <w:r>
              <w:rPr>
                <w:rFonts w:ascii="游ゴシック" w:hAnsi="游ゴシック" w:eastAsia="游ゴシック"/>
                <w:sz w:val="17"/>
              </w:rPr>
              <w:t>3,331.4</w:t>
            </w:r>
          </w:p>
        </w:tc>
        <w:tc>
          <w:tcPr>
            <w:tcW w:type="dxa" w:w="1001"/>
          </w:tcPr>
          <w:p>
            <w:r/>
            <w:r>
              <w:rPr>
                <w:rFonts w:ascii="游ゴシック" w:hAnsi="游ゴシック" w:eastAsia="游ゴシック"/>
                <w:sz w:val="17"/>
              </w:rPr>
              <w:t>3,365.5</w:t>
            </w:r>
          </w:p>
        </w:tc>
        <w:tc>
          <w:tcPr>
            <w:tcW w:type="dxa" w:w="1001"/>
          </w:tcPr>
          <w:p>
            <w:r/>
            <w:r>
              <w:rPr>
                <w:rFonts w:ascii="游ゴシック" w:hAnsi="游ゴシック" w:eastAsia="游ゴシック"/>
                <w:sz w:val="17"/>
              </w:rPr>
              <w:t>3,400.2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9,031.9百万円）に対し、令和22年度は単年度で3,408.9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定員</w:t>
            </w:r>
          </w:p>
        </w:tc>
        <w:tc>
          <w:tcPr>
            <w:tcW w:type="dxa" w:w="986"/>
          </w:tcPr>
          <w:p>
            <w:r/>
            <w:r>
              <w:rPr>
                <w:rFonts w:ascii="游ゴシック" w:hAnsi="游ゴシック" w:eastAsia="游ゴシック"/>
                <w:b/>
                <w:sz w:val="17"/>
              </w:rPr>
              <w:t>R7実績</w:t>
            </w:r>
          </w:p>
        </w:tc>
        <w:tc>
          <w:tcPr>
            <w:tcW w:type="dxa" w:w="986"/>
          </w:tcPr>
          <w:p>
            <w:r/>
            <w:r>
              <w:rPr>
                <w:rFonts w:ascii="游ゴシック" w:hAnsi="游ゴシック" w:eastAsia="游ゴシック"/>
                <w:b/>
                <w:sz w:val="17"/>
              </w:rPr>
              <w:t>R11見込</w:t>
            </w:r>
          </w:p>
        </w:tc>
        <w:tc>
          <w:tcPr>
            <w:tcW w:type="dxa" w:w="986"/>
          </w:tcPr>
          <w:p>
            <w:r/>
            <w:r>
              <w:rPr>
                <w:rFonts w:ascii="游ゴシック" w:hAnsi="游ゴシック" w:eastAsia="游ゴシック"/>
                <w:b/>
                <w:sz w:val="17"/>
              </w:rPr>
              <w:t>R11／定員</w:t>
            </w:r>
          </w:p>
        </w:tc>
        <w:tc>
          <w:tcPr>
            <w:tcW w:type="dxa" w:w="3725"/>
          </w:tcPr>
          <w:p>
            <w:r/>
            <w:r>
              <w:rPr>
                <w:rFonts w:ascii="游ゴシック" w:hAnsi="游ゴシック" w:eastAsia="游ゴシック"/>
                <w:b/>
                <w:sz w:val="17"/>
              </w:rPr>
              <w:t>整備判断上の確認事項</w:t>
            </w:r>
          </w:p>
        </w:tc>
      </w:tr>
      <w:t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【区域内の入居状況と当広域連合の被保険者の受給者数】</w:t>
      </w:r>
    </w:p>
    <w:p>
      <w:pPr>
        <w:spacing w:after="80"/>
      </w:pPr>
      <w:r>
        <w:rPr>
          <w:rFonts w:ascii="游ゴシック" w:hAnsi="游ゴシック" w:eastAsia="游ゴシック"/>
          <w:b w:val="0"/>
          <w:sz w:val="20"/>
        </w:rPr>
        <w:t>特定施設入居者生活介護は、区域内3施設の定員156人に対し入居者154人（98.7％）でほぼ満室です（第2章第3節8）。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【供給の担い手の集中】</w:t>
      </w:r>
    </w:p>
    <w:p>
      <w:pPr>
        <w:spacing w:after="80"/>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【現況（令和8年度）】</w:t>
      </w:r>
    </w:p>
    <w:p>
      <w:pPr>
        <w:spacing w:after="20"/>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日常生活圏域</w:t>
            </w:r>
          </w:p>
        </w:tc>
        <w:tc>
          <w:tcPr>
            <w:tcW w:type="dxa" w:w="2630"/>
          </w:tcPr>
          <w:p>
            <w:r/>
            <w:r>
              <w:rPr>
                <w:rFonts w:ascii="游ゴシック" w:hAnsi="游ゴシック" w:eastAsia="游ゴシック"/>
                <w:b/>
                <w:sz w:val="17"/>
              </w:rPr>
              <w:t>認知症対応型共同生活介護</w:t>
            </w:r>
          </w:p>
        </w:tc>
        <w:tc>
          <w:tcPr>
            <w:tcW w:type="dxa" w:w="2630"/>
          </w:tcPr>
          <w:p>
            <w:r/>
            <w:r>
              <w:rPr>
                <w:rFonts w:ascii="游ゴシック" w:hAnsi="游ゴシック" w:eastAsia="游ゴシック"/>
                <w:b/>
                <w:sz w:val="17"/>
              </w:rPr>
              <w:t>地域密着型特定施設入居者生活介護</w:t>
            </w:r>
          </w:p>
        </w:tc>
        <w:tc>
          <w:tcPr>
            <w:tcW w:type="dxa" w:w="2630"/>
          </w:tcPr>
          <w:p>
            <w:r/>
            <w:r>
              <w:rPr>
                <w:rFonts w:ascii="游ゴシック" w:hAnsi="游ゴシック" w:eastAsia="游ゴシック"/>
                <w:b/>
                <w:sz w:val="17"/>
              </w:rPr>
              <w:t>地域密着型介護老人福祉施設入所者生活介護</w:t>
            </w:r>
          </w:p>
        </w:tc>
      </w:tr>
      <w:t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jc w:val="right"/>
      </w:pPr>
      <w:r>
        <w:rPr>
          <w:rFonts w:ascii="游ゴシック" w:hAnsi="游ゴシック" w:eastAsia="游ゴシック"/>
          <w:b w:val="0"/>
          <w:sz w:val="17"/>
        </w:rPr>
        <w:t>資料：第2章第3節6（北海道保健福祉部の各名簿ほか）</w:t>
      </w:r>
    </w:p>
    <w:p>
      <w:pPr>
        <w:spacing w:after="160"/>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【第10期における必要利用定員総数】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457"/>
          </w:tcPr>
          <w:p>
            <w:r/>
            <w:r>
              <w:rPr>
                <w:rFonts w:ascii="游ゴシック" w:hAnsi="游ゴシック" w:eastAsia="游ゴシック"/>
                <w:b/>
                <w:sz w:val="17"/>
              </w:rPr>
              <w:t>日常生活圏域</w:t>
            </w:r>
          </w:p>
        </w:tc>
        <w:tc>
          <w:tcPr>
            <w:tcW w:type="dxa" w:w="3587"/>
          </w:tcPr>
          <w:p>
            <w:r/>
            <w:r>
              <w:rPr>
                <w:rFonts w:ascii="游ゴシック" w:hAnsi="游ゴシック" w:eastAsia="游ゴシック"/>
                <w:b/>
                <w:sz w:val="17"/>
              </w:rPr>
              <w:t>サービス</w:t>
            </w:r>
          </w:p>
        </w:tc>
        <w:tc>
          <w:tcPr>
            <w:tcW w:type="dxa" w:w="1569"/>
          </w:tcPr>
          <w:p>
            <w:r/>
            <w:r>
              <w:rPr>
                <w:rFonts w:ascii="游ゴシック" w:hAnsi="游ゴシック" w:eastAsia="游ゴシック"/>
                <w:b/>
                <w:sz w:val="17"/>
              </w:rPr>
              <w:t>令和9年度</w:t>
            </w:r>
          </w:p>
        </w:tc>
        <w:tc>
          <w:tcPr>
            <w:tcW w:type="dxa" w:w="1569"/>
          </w:tcPr>
          <w:p>
            <w:r/>
            <w:r>
              <w:rPr>
                <w:rFonts w:ascii="游ゴシック" w:hAnsi="游ゴシック" w:eastAsia="游ゴシック"/>
                <w:b/>
                <w:sz w:val="17"/>
              </w:rPr>
              <w:t>令和10年度</w:t>
            </w:r>
          </w:p>
        </w:tc>
        <w:tc>
          <w:tcPr>
            <w:tcW w:type="dxa" w:w="1569"/>
          </w:tcPr>
          <w:p>
            <w:r/>
            <w:r>
              <w:rPr>
                <w:rFonts w:ascii="游ゴシック" w:hAnsi="游ゴシック" w:eastAsia="游ゴシック"/>
                <w:b/>
                <w:sz w:val="17"/>
              </w:rPr>
              <w:t>令和11年度</w:t>
            </w:r>
          </w:p>
        </w:tc>
      </w:tr>
      <w:t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【入所の経路からみた整備の考え方】</w:t>
      </w:r>
    </w:p>
    <w:p>
      <w:pPr>
        <w:spacing w:after="80"/>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3節により算定した給付費を入れた基本ケースは月額6,436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9,565,616,321</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2,322,333,022</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494,350,214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729,213,412</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2,087,469,824</w:t>
            </w:r>
          </w:p>
        </w:tc>
        <w:tc>
          <w:tcPr>
            <w:tcW w:type="dxa" w:w="794"/>
          </w:tcPr>
          <w:p>
            <w:r/>
            <w:r>
              <w:rPr>
                <w:rFonts w:ascii="游ゴシック" w:hAnsi="游ゴシック" w:eastAsia="游ゴシック"/>
                <w:sz w:val="17"/>
              </w:rPr>
              <w:t>101.7％</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10,097,100,098</w:t>
            </w:r>
          </w:p>
        </w:tc>
        <w:tc>
          <w:tcPr>
            <w:tcW w:type="dxa" w:w="794"/>
          </w:tcPr>
          <w:p>
            <w:r/>
            <w:r>
              <w:rPr>
                <w:rFonts w:ascii="游ゴシック" w:hAnsi="游ゴシック" w:eastAsia="游ゴシック"/>
                <w:sz w:val="17"/>
              </w:rPr>
              <w:t>99.8％</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6,436円</w:t>
            </w:r>
          </w:p>
        </w:tc>
        <w:tc>
          <w:tcPr>
            <w:tcW w:type="dxa" w:w="794"/>
          </w:tcPr>
          <w:p>
            <w:r/>
            <w:r>
              <w:rPr>
                <w:rFonts w:ascii="游ゴシック" w:hAnsi="游ゴシック" w:eastAsia="游ゴシック"/>
                <w:sz w:val="17"/>
              </w:rPr>
              <w:t>100.1％</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第9期の条例基準額6,400円に対し、暫定の算定値は36円高くなります。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【給付費の置き方によるちがい】</w:t>
      </w:r>
    </w:p>
    <w:p>
      <w:pPr>
        <w:spacing w:after="80"/>
      </w:pPr>
      <w:r>
        <w:rPr>
          <w:rFonts w:ascii="游ゴシック" w:hAnsi="游ゴシック" w:eastAsia="游ゴシック"/>
          <w:b w:val="0"/>
          <w:sz w:val="20"/>
        </w:rPr>
        <w:t>給付費の置き方について、次の3つを算定しました。上表は①によっています。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tcPr>
          <w:p>
            <w:r/>
            <w:r>
              <w:rPr>
                <w:rFonts w:ascii="游ゴシック" w:hAnsi="游ゴシック" w:eastAsia="游ゴシック"/>
                <w:b/>
                <w:sz w:val="17"/>
              </w:rPr>
              <w:t>置き方</w:t>
            </w:r>
          </w:p>
        </w:tc>
        <w:tc>
          <w:tcPr>
            <w:tcW w:type="dxa" w:w="3402"/>
          </w:tcPr>
          <w:p>
            <w:r/>
            <w:r>
              <w:rPr>
                <w:rFonts w:ascii="游ゴシック" w:hAnsi="游ゴシック" w:eastAsia="游ゴシック"/>
                <w:b/>
                <w:sz w:val="17"/>
              </w:rPr>
              <w:t>内容</w:t>
            </w:r>
          </w:p>
        </w:tc>
        <w:tc>
          <w:tcPr>
            <w:tcW w:type="dxa" w:w="2041"/>
          </w:tcPr>
          <w:p>
            <w:r/>
            <w:r>
              <w:rPr>
                <w:rFonts w:ascii="游ゴシック" w:hAnsi="游ゴシック" w:eastAsia="游ゴシック"/>
                <w:b/>
                <w:sz w:val="17"/>
              </w:rPr>
              <w:t>総給付費（3か年計）</w:t>
            </w:r>
          </w:p>
        </w:tc>
        <w:tc>
          <w:tcPr>
            <w:tcW w:type="dxa" w:w="1474"/>
          </w:tcPr>
          <w:p>
            <w:r/>
            <w:r>
              <w:rPr>
                <w:rFonts w:ascii="游ゴシック" w:hAnsi="游ゴシック" w:eastAsia="游ゴシック"/>
                <w:b/>
                <w:sz w:val="17"/>
              </w:rPr>
              <w:t>算定上の月額</w:t>
            </w:r>
          </w:p>
        </w:tc>
      </w:tr>
      <w:t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9,031,900,444</w:t>
            </w:r>
          </w:p>
        </w:tc>
        <w:tc>
          <w:tcPr>
            <w:tcW w:type="dxa" w:w="1474"/>
          </w:tcPr>
          <w:p>
            <w:r/>
            <w:r>
              <w:rPr>
                <w:rFonts w:ascii="游ゴシック" w:hAnsi="游ゴシック" w:eastAsia="游ゴシック"/>
                <w:sz w:val="17"/>
              </w:rPr>
              <w:t>6,436円</w:t>
            </w:r>
          </w:p>
        </w:tc>
      </w:tr>
      <w:t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pPr>
      <w:r>
        <w:rPr>
          <w:rFonts w:ascii="游ゴシック" w:hAnsi="游ゴシック" w:eastAsia="游ゴシック"/>
          <w:b w:val="0"/>
          <w:sz w:val="20"/>
        </w:rPr>
        <w:t>①と②の差は8円です。人口の高齢化により要介護度の構成が重度側へ動くため、要介護度別に置くと給付費はわずかに大きくなります。①と③の差304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721"/>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6,497円</w:t>
            </w:r>
          </w:p>
        </w:tc>
        <w:tc>
          <w:tcPr>
            <w:tcW w:type="dxa" w:w="1134"/>
          </w:tcPr>
          <w:p>
            <w:r/>
            <w:r>
              <w:rPr>
                <w:rFonts w:ascii="游ゴシック" w:hAnsi="游ゴシック" w:eastAsia="游ゴシック"/>
                <w:sz w:val="17"/>
              </w:rPr>
              <w:t>＋61円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6,619円</w:t>
            </w:r>
          </w:p>
        </w:tc>
        <w:tc>
          <w:tcPr>
            <w:tcW w:type="dxa" w:w="1134"/>
          </w:tcPr>
          <w:p>
            <w:r/>
            <w:r>
              <w:rPr>
                <w:rFonts w:ascii="游ゴシック" w:hAnsi="游ゴシック" w:eastAsia="游ゴシック"/>
                <w:sz w:val="17"/>
              </w:rPr>
              <w:t>＋182円</w:t>
            </w:r>
          </w:p>
        </w:tc>
      </w:tr>
      <w:t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6,747円</w:t>
            </w:r>
          </w:p>
        </w:tc>
        <w:tc>
          <w:tcPr>
            <w:tcW w:type="dxa" w:w="1134"/>
          </w:tcPr>
          <w:p>
            <w:r/>
            <w:r>
              <w:rPr>
                <w:rFonts w:ascii="游ゴシック" w:hAnsi="游ゴシック" w:eastAsia="游ゴシック"/>
                <w:sz w:val="17"/>
              </w:rPr>
              <w:t>＋311円</w:t>
            </w:r>
          </w:p>
        </w:tc>
      </w:tr>
      <w:t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6,706円</w:t>
            </w:r>
          </w:p>
        </w:tc>
        <w:tc>
          <w:tcPr>
            <w:tcW w:type="dxa" w:w="1134"/>
          </w:tcPr>
          <w:p>
            <w:r/>
            <w:r>
              <w:rPr>
                <w:rFonts w:ascii="游ゴシック" w:hAnsi="游ゴシック" w:eastAsia="游ゴシック"/>
                <w:sz w:val="17"/>
              </w:rPr>
              <w:t>＋270円</w:t>
            </w:r>
          </w:p>
        </w:tc>
      </w:tr>
      <w:t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6,281円</w:t>
            </w:r>
          </w:p>
        </w:tc>
        <w:tc>
          <w:tcPr>
            <w:tcW w:type="dxa" w:w="1134"/>
          </w:tcPr>
          <w:p>
            <w:r/>
            <w:r>
              <w:rPr>
                <w:rFonts w:ascii="游ゴシック" w:hAnsi="游ゴシック" w:eastAsia="游ゴシック"/>
                <w:sz w:val="17"/>
              </w:rPr>
              <w:t>▲155円</w:t>
            </w:r>
          </w:p>
        </w:tc>
      </w:tr>
      <w:t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6,380円</w:t>
            </w:r>
          </w:p>
        </w:tc>
        <w:tc>
          <w:tcPr>
            <w:tcW w:type="dxa" w:w="1134"/>
          </w:tcPr>
          <w:p>
            <w:r/>
            <w:r>
              <w:rPr>
                <w:rFonts w:ascii="游ゴシック" w:hAnsi="游ゴシック" w:eastAsia="游ゴシック"/>
                <w:sz w:val="17"/>
              </w:rPr>
              <w:t>▲56円</w:t>
            </w:r>
          </w:p>
        </w:tc>
      </w:tr>
      <w:t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5,722円</w:t>
            </w:r>
          </w:p>
        </w:tc>
        <w:tc>
          <w:tcPr>
            <w:tcW w:type="dxa" w:w="1134"/>
          </w:tcPr>
          <w:p>
            <w:r/>
            <w:r>
              <w:rPr>
                <w:rFonts w:ascii="游ゴシック" w:hAnsi="游ゴシック" w:eastAsia="游ゴシック"/>
                <w:sz w:val="17"/>
              </w:rPr>
              <w:t>▲714円</w:t>
            </w:r>
          </w:p>
        </w:tc>
      </w:tr>
      <w:t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6,313円</w:t>
            </w:r>
          </w:p>
        </w:tc>
        <w:tc>
          <w:tcPr>
            <w:tcW w:type="dxa" w:w="1134"/>
          </w:tcPr>
          <w:p>
            <w:r/>
            <w:r>
              <w:rPr>
                <w:rFonts w:ascii="游ゴシック" w:hAnsi="游ゴシック" w:eastAsia="游ゴシック"/>
                <w:sz w:val="17"/>
              </w:rPr>
              <w:t>▲123円</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80"/>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改定率は令和9年度の告示を待って反映します。</w:t>
      </w:r>
    </w:p>
    <w:p>
      <w:pPr>
        <w:spacing w:after="160"/>
      </w:pPr>
      <w:r>
        <w:rPr>
          <w:rFonts w:ascii="游ゴシック" w:hAnsi="游ゴシック" w:eastAsia="游ゴシック"/>
          <w:b w:val="0"/>
          <w:sz w:val="17"/>
        </w:rPr>
        <w:t>注）各欄は、基本ケースから当該の前提のみを動かした場合の値です。複数を同時に動かした場合の値ではありません。</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9,565,616,321</w:t>
            </w:r>
          </w:p>
        </w:tc>
        <w:tc>
          <w:tcPr>
            <w:tcW w:type="dxa" w:w="877"/>
          </w:tcPr>
          <w:p>
            <w:r/>
            <w:r>
              <w:rPr>
                <w:rFonts w:ascii="游ゴシック" w:hAnsi="游ゴシック" w:eastAsia="游ゴシック"/>
                <w:sz w:val="17"/>
              </w:rPr>
              <w:t>3,154,260,628</w:t>
            </w:r>
          </w:p>
        </w:tc>
        <w:tc>
          <w:tcPr>
            <w:tcW w:type="dxa" w:w="877"/>
          </w:tcPr>
          <w:p>
            <w:r/>
            <w:r>
              <w:rPr>
                <w:rFonts w:ascii="游ゴシック" w:hAnsi="游ゴシック" w:eastAsia="游ゴシック"/>
                <w:sz w:val="17"/>
              </w:rPr>
              <w:t>3,188,366,578</w:t>
            </w:r>
          </w:p>
        </w:tc>
        <w:tc>
          <w:tcPr>
            <w:tcW w:type="dxa" w:w="877"/>
          </w:tcPr>
          <w:p>
            <w:r/>
            <w:r>
              <w:rPr>
                <w:rFonts w:ascii="游ゴシック" w:hAnsi="游ゴシック" w:eastAsia="游ゴシック"/>
                <w:sz w:val="17"/>
              </w:rPr>
              <w:t>3,222,989,115</w:t>
            </w:r>
          </w:p>
        </w:tc>
        <w:tc>
          <w:tcPr>
            <w:tcW w:type="dxa" w:w="1863"/>
          </w:tcPr>
          <w:p>
            <w:r/>
            <w:r>
              <w:rPr>
                <w:rFonts w:ascii="游ゴシック" w:hAnsi="游ゴシック" w:eastAsia="游ゴシック"/>
                <w:sz w:val="17"/>
              </w:rPr>
              <w:t>給付費の積上げ（第3節）</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2,322,333,022</w:t>
            </w:r>
          </w:p>
        </w:tc>
        <w:tc>
          <w:tcPr>
            <w:tcW w:type="dxa" w:w="877"/>
          </w:tcPr>
          <w:p>
            <w:r/>
            <w:r>
              <w:rPr>
                <w:rFonts w:ascii="游ゴシック" w:hAnsi="游ゴシック" w:eastAsia="游ゴシック"/>
                <w:sz w:val="17"/>
              </w:rPr>
              <w:t>766,227,034</w:t>
            </w:r>
          </w:p>
        </w:tc>
        <w:tc>
          <w:tcPr>
            <w:tcW w:type="dxa" w:w="877"/>
          </w:tcPr>
          <w:p>
            <w:r/>
            <w:r>
              <w:rPr>
                <w:rFonts w:ascii="游ゴシック" w:hAnsi="游ゴシック" w:eastAsia="游ゴシック"/>
                <w:sz w:val="17"/>
              </w:rPr>
              <w:t>774,071,403</w:t>
            </w:r>
          </w:p>
        </w:tc>
        <w:tc>
          <w:tcPr>
            <w:tcW w:type="dxa" w:w="877"/>
          </w:tcPr>
          <w:p>
            <w:r/>
            <w:r>
              <w:rPr>
                <w:rFonts w:ascii="游ゴシック" w:hAnsi="游ゴシック" w:eastAsia="游ゴシック"/>
                <w:sz w:val="17"/>
              </w:rPr>
              <w:t>782,034,586</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494,350,214</w:t>
            </w:r>
          </w:p>
        </w:tc>
        <w:tc>
          <w:tcPr>
            <w:tcW w:type="dxa" w:w="877"/>
          </w:tcPr>
          <w:p>
            <w:r/>
            <w:r>
              <w:rPr>
                <w:rFonts w:ascii="游ゴシック" w:hAnsi="游ゴシック" w:eastAsia="游ゴシック"/>
                <w:sz w:val="17"/>
              </w:rPr>
              <w:t>163,069,497</w:t>
            </w:r>
          </w:p>
        </w:tc>
        <w:tc>
          <w:tcPr>
            <w:tcW w:type="dxa" w:w="877"/>
          </w:tcPr>
          <w:p>
            <w:r/>
            <w:r>
              <w:rPr>
                <w:rFonts w:ascii="游ゴシック" w:hAnsi="游ゴシック" w:eastAsia="游ゴシック"/>
                <w:sz w:val="17"/>
              </w:rPr>
              <w:t>164,774,795</w:t>
            </w:r>
          </w:p>
        </w:tc>
        <w:tc>
          <w:tcPr>
            <w:tcW w:type="dxa" w:w="877"/>
          </w:tcPr>
          <w:p>
            <w:r/>
            <w:r>
              <w:rPr>
                <w:rFonts w:ascii="游ゴシック" w:hAnsi="游ゴシック" w:eastAsia="游ゴシック"/>
                <w:sz w:val="17"/>
              </w:rPr>
              <w:t>166,505,922</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729,213,412</w:t>
            </w:r>
          </w:p>
        </w:tc>
        <w:tc>
          <w:tcPr>
            <w:tcW w:type="dxa" w:w="877"/>
          </w:tcPr>
          <w:p>
            <w:r/>
            <w:r>
              <w:rPr>
                <w:rFonts w:ascii="游ゴシック" w:hAnsi="游ゴシック" w:eastAsia="游ゴシック"/>
                <w:sz w:val="17"/>
              </w:rPr>
              <w:t>240,542,962</w:t>
            </w:r>
          </w:p>
        </w:tc>
        <w:tc>
          <w:tcPr>
            <w:tcW w:type="dxa" w:w="877"/>
          </w:tcPr>
          <w:p>
            <w:r/>
            <w:r>
              <w:rPr>
                <w:rFonts w:ascii="游ゴシック" w:hAnsi="游ゴシック" w:eastAsia="游ゴシック"/>
                <w:sz w:val="17"/>
              </w:rPr>
              <w:t>243,058,437</w:t>
            </w:r>
          </w:p>
        </w:tc>
        <w:tc>
          <w:tcPr>
            <w:tcW w:type="dxa" w:w="877"/>
          </w:tcPr>
          <w:p>
            <w:r/>
            <w:r>
              <w:rPr>
                <w:rFonts w:ascii="游ゴシック" w:hAnsi="游ゴシック" w:eastAsia="游ゴシック"/>
                <w:sz w:val="17"/>
              </w:rPr>
              <w:t>245,612,013</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2,087,469,824</w:t>
            </w:r>
          </w:p>
        </w:tc>
        <w:tc>
          <w:tcPr>
            <w:tcW w:type="dxa" w:w="877"/>
          </w:tcPr>
          <w:p>
            <w:r/>
            <w:r>
              <w:rPr>
                <w:rFonts w:ascii="游ゴシック" w:hAnsi="游ゴシック" w:eastAsia="游ゴシック"/>
                <w:sz w:val="17"/>
              </w:rPr>
              <w:t>688,753,570</w:t>
            </w:r>
          </w:p>
        </w:tc>
        <w:tc>
          <w:tcPr>
            <w:tcW w:type="dxa" w:w="877"/>
          </w:tcPr>
          <w:p>
            <w:r/>
            <w:r>
              <w:rPr>
                <w:rFonts w:ascii="游ゴシック" w:hAnsi="游ゴシック" w:eastAsia="游ゴシック"/>
                <w:sz w:val="17"/>
              </w:rPr>
              <w:t>695,787,760</w:t>
            </w:r>
          </w:p>
        </w:tc>
        <w:tc>
          <w:tcPr>
            <w:tcW w:type="dxa" w:w="877"/>
          </w:tcPr>
          <w:p>
            <w:r/>
            <w:r>
              <w:rPr>
                <w:rFonts w:ascii="游ゴシック" w:hAnsi="游ゴシック" w:eastAsia="游ゴシック"/>
                <w:sz w:val="17"/>
              </w:rPr>
              <w:t>702,928,494</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6,394円</w:t>
            </w:r>
          </w:p>
        </w:tc>
        <w:tc>
          <w:tcPr>
            <w:tcW w:type="dxa" w:w="877"/>
          </w:tcPr>
          <w:p>
            <w:r/>
            <w:r>
              <w:rPr>
                <w:rFonts w:ascii="游ゴシック" w:hAnsi="游ゴシック" w:eastAsia="游ゴシック"/>
                <w:sz w:val="17"/>
              </w:rPr>
              <w:t>6,436円</w:t>
            </w:r>
          </w:p>
        </w:tc>
        <w:tc>
          <w:tcPr>
            <w:tcW w:type="dxa" w:w="877"/>
          </w:tcPr>
          <w:p>
            <w:r/>
            <w:r>
              <w:rPr>
                <w:rFonts w:ascii="游ゴシック" w:hAnsi="游ゴシック" w:eastAsia="游ゴシック"/>
                <w:sz w:val="17"/>
              </w:rPr>
              <w:t>6,478円</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jc w:val="right"/>
      </w:pPr>
      <w:r>
        <w:rPr>
          <w:rFonts w:ascii="游ゴシック" w:hAnsi="游ゴシック" w:eastAsia="游ゴシック"/>
          <w:b w:val="0"/>
          <w:sz w:val="17"/>
        </w:rPr>
        <w:t>資料：将来推計 第3段階（給付費と保険料）、サービス見込量の算定（第1次概算）</w:t>
      </w:r>
    </w:p>
    <w:p>
      <w:pPr>
        <w:spacing w:after="160"/>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