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令和8年9月24日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482段落・52表</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137段落・16表</w:t>
            </w:r>
          </w:p>
        </w:tc>
        <w:tc>
          <w:tcPr>
            <w:tcW w:type="dxa" w:w="794"/>
            <w:shd w:val="clear" w:color="auto" w:fill="F2F5FA"/>
            <w:vAlign w:val="center"/>
          </w:tcPr>
          <w:p>
            <w:pPr>
              <w:spacing w:after="0"/>
              <w:jc w:val="center"/>
            </w:pPr>
            <w:r>
              <w:rPr>
                <w:rFonts w:ascii="游ゴシック" w:hAnsi="游ゴシック" w:eastAsia="游ゴシック"/>
                <w:b w:val="0"/>
                <w:sz w:val="18"/>
              </w:rPr>
              <w:t>36件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926段落145表36図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第5章第3節の一覧・各基本目標の達成目標・資料1の3か所に同じKPIが現れる。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目標年度と未達幅の対応</w:t>
            </w:r>
          </w:p>
        </w:tc>
        <w:tc>
          <w:tcPr>
            <w:tcW w:type="dxa" w:w="3175"/>
            <w:shd w:val="clear" w:color="auto" w:fill="F2F5FA"/>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shd w:val="clear" w:color="auto" w:fill="F2F5FA"/>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vAlign w:val="center"/>
          </w:tcPr>
          <w:p>
            <w:pPr>
              <w:spacing w:after="0"/>
            </w:pPr>
            <w:r>
              <w:rPr>
                <w:rFonts w:ascii="游ゴシック" w:hAnsi="游ゴシック" w:eastAsia="游ゴシック"/>
                <w:b/>
                <w:sz w:val="18"/>
              </w:rPr>
              <w:t>反映先の節が存在するか</w:t>
            </w:r>
          </w:p>
        </w:tc>
        <w:tc>
          <w:tcPr>
            <w:tcW w:type="dxa" w:w="3175"/>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報告書の見込量が計画素案と食い違っていた</w:t>
            </w:r>
          </w:p>
        </w:tc>
        <w:tc>
          <w:tcPr>
            <w:tcW w:type="dxa" w:w="2608"/>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12シートが反映状況を持っていなかった</w:t>
            </w:r>
          </w:p>
        </w:tc>
        <w:tc>
          <w:tcPr>
            <w:tcW w:type="dxa" w:w="2608"/>
            <w:shd w:val="clear" w:color="auto" w:fill="F2F5FA"/>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shd w:val="clear" w:color="auto" w:fill="F2F5FA"/>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shd w:val="clear" w:color="auto" w:fill="F2F5FA"/>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vAlign w:val="center"/>
          </w:tcPr>
          <w:p>
            <w:pPr>
              <w:spacing w:after="0"/>
            </w:pPr>
            <w:r>
              <w:rPr>
                <w:rFonts w:ascii="游ゴシック" w:hAnsi="游ゴシック" w:eastAsia="游ゴシック"/>
                <w:b/>
                <w:sz w:val="18"/>
              </w:rPr>
              <w:t>語の有無だけの判定で偽陽性が出た</w:t>
            </w:r>
          </w:p>
        </w:tc>
        <w:tc>
          <w:tcPr>
            <w:tcW w:type="dxa" w:w="2608"/>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vAlign w:val="center"/>
          </w:tcPr>
          <w:p>
            <w:pPr>
              <w:spacing w:after="0"/>
            </w:pPr>
            <w:r>
              <w:rPr>
                <w:rFonts w:ascii="游ゴシック" w:hAnsi="游ゴシック" w:eastAsia="游ゴシック"/>
                <w:b w:val="0"/>
                <w:sz w:val="18"/>
              </w:rPr>
              <w:t>素案全体で語を検索していた</w:t>
            </w:r>
          </w:p>
        </w:tc>
        <w:tc>
          <w:tcPr>
            <w:tcW w:type="dxa" w:w="3175"/>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shd w:val="clear" w:color="auto" w:fill="F2F5FA"/>
            <w:vAlign w:val="center"/>
          </w:tcPr>
          <w:p>
            <w:pPr>
              <w:spacing w:after="0"/>
            </w:pPr>
            <w:r>
              <w:rPr>
                <w:rFonts w:ascii="游ゴシック" w:hAnsi="游ゴシック" w:eastAsia="游ゴシック"/>
                <w:b/>
                <w:sz w:val="18"/>
              </w:rPr>
              <w:t>過去の時点の報告が現時点の値を読んでいた</w:t>
            </w:r>
          </w:p>
        </w:tc>
        <w:tc>
          <w:tcPr>
            <w:tcW w:type="dxa" w:w="2608"/>
            <w:shd w:val="clear" w:color="auto" w:fill="F2F5FA"/>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shd w:val="clear" w:color="auto" w:fill="F2F5FA"/>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shd w:val="clear" w:color="auto" w:fill="F2F5FA"/>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vAlign w:val="center"/>
          </w:tcPr>
          <w:p>
            <w:pPr>
              <w:spacing w:after="0"/>
            </w:pPr>
            <w:r>
              <w:rPr>
                <w:rFonts w:ascii="游ゴシック" w:hAnsi="游ゴシック" w:eastAsia="游ゴシック"/>
                <w:b/>
                <w:sz w:val="18"/>
              </w:rPr>
              <w:t>禁止表現が残っていた</w:t>
            </w:r>
          </w:p>
        </w:tc>
        <w:tc>
          <w:tcPr>
            <w:tcW w:type="dxa" w:w="2608"/>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vAlign w:val="center"/>
          </w:tcPr>
          <w:p>
            <w:pPr>
              <w:spacing w:after="0"/>
            </w:pPr>
            <w:r>
              <w:rPr>
                <w:rFonts w:ascii="游ゴシック" w:hAnsi="游ゴシック" w:eastAsia="游ゴシック"/>
                <w:b w:val="0"/>
                <w:sz w:val="18"/>
              </w:rPr>
              <w:t>根拠として「整合する」を使っていた</w:t>
            </w:r>
          </w:p>
        </w:tc>
        <w:tc>
          <w:tcPr>
            <w:tcW w:type="dxa" w:w="3175"/>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docx が Markdown を解釈せずアスタリスクが本文に出た</w:t>
            </w:r>
          </w:p>
        </w:tc>
        <w:tc>
          <w:tcPr>
            <w:tcW w:type="dxa" w:w="2608"/>
            <w:shd w:val="clear" w:color="auto" w:fill="F2F5FA"/>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shd w:val="clear" w:color="auto" w:fill="F2F5FA"/>
            <w:vAlign w:val="center"/>
          </w:tcPr>
          <w:p>
            <w:pPr>
              <w:spacing w:after="0"/>
            </w:pPr>
            <w:r>
              <w:rPr>
                <w:rFonts w:ascii="游ゴシック" w:hAnsi="游ゴシック" w:eastAsia="游ゴシック"/>
                <w:b w:val="0"/>
                <w:sz w:val="18"/>
              </w:rPr>
              <w:t>python-docx は Markdown を解釈しない</w:t>
            </w:r>
          </w:p>
        </w:tc>
        <w:tc>
          <w:tcPr>
            <w:tcW w:type="dxa" w:w="3175"/>
            <w:shd w:val="clear" w:color="auto" w:fill="F2F5FA"/>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vAlign w:val="center"/>
          </w:tcPr>
          <w:p>
            <w:pPr>
              <w:spacing w:after="0"/>
            </w:pPr>
            <w:r>
              <w:rPr>
                <w:rFonts w:ascii="游ゴシック" w:hAnsi="游ゴシック" w:eastAsia="游ゴシック"/>
                <w:b/>
                <w:sz w:val="18"/>
              </w:rPr>
              <w:t>割合の分母を取り違えていた</w:t>
            </w:r>
          </w:p>
        </w:tc>
        <w:tc>
          <w:tcPr>
            <w:tcW w:type="dxa" w:w="2608"/>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推計を実績のように書いていた</w:t>
            </w:r>
          </w:p>
        </w:tc>
        <w:tc>
          <w:tcPr>
            <w:tcW w:type="dxa" w:w="2608"/>
            <w:shd w:val="clear" w:color="auto" w:fill="F2F5FA"/>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shd w:val="clear" w:color="auto" w:fill="F2F5FA"/>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shd w:val="clear" w:color="auto" w:fill="F2F5FA"/>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vAlign w:val="center"/>
          </w:tcPr>
          <w:p>
            <w:pPr>
              <w:spacing w:after="0"/>
            </w:pPr>
            <w:r>
              <w:rPr>
                <w:rFonts w:ascii="游ゴシック" w:hAnsi="游ゴシック" w:eastAsia="游ゴシック"/>
                <w:b/>
                <w:sz w:val="18"/>
              </w:rPr>
              <w:t>同じ項目に2つの数値があった</w:t>
            </w:r>
          </w:p>
        </w:tc>
        <w:tc>
          <w:tcPr>
            <w:tcW w:type="dxa" w:w="2608"/>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存在しない章節を反映先としていた</w:t>
            </w:r>
          </w:p>
        </w:tc>
        <w:tc>
          <w:tcPr>
            <w:tcW w:type="dxa" w:w="2608"/>
            <w:shd w:val="clear" w:color="auto" w:fill="F2F5FA"/>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shd w:val="clear" w:color="auto" w:fill="F2F5FA"/>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shd w:val="clear" w:color="auto" w:fill="F2F5FA"/>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vAlign w:val="center"/>
          </w:tcPr>
          <w:p>
            <w:pPr>
              <w:spacing w:after="0"/>
            </w:pPr>
            <w:r>
              <w:rPr>
                <w:rFonts w:ascii="游ゴシック" w:hAnsi="游ゴシック" w:eastAsia="游ゴシック"/>
                <w:b/>
                <w:sz w:val="18"/>
              </w:rPr>
              <w:t>発注者提出用に当方の内部の仕組みが出ていた</w:t>
            </w:r>
          </w:p>
        </w:tc>
        <w:tc>
          <w:tcPr>
            <w:tcW w:type="dxa" w:w="2608"/>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shd w:val="clear" w:color="auto" w:fill="F2F5FA"/>
            <w:vAlign w:val="center"/>
          </w:tcPr>
          <w:p>
            <w:pPr>
              <w:spacing w:after="0"/>
            </w:pPr>
            <w:r>
              <w:rPr>
                <w:rFonts w:ascii="游ゴシック" w:hAnsi="游ゴシック" w:eastAsia="游ゴシック"/>
                <w:b/>
                <w:sz w:val="18"/>
              </w:rPr>
              <w:t>在籍と受給の表が12分の1になっていた</w:t>
            </w:r>
          </w:p>
        </w:tc>
        <w:tc>
          <w:tcPr>
            <w:tcW w:type="dxa" w:w="2608"/>
            <w:shd w:val="clear" w:color="auto" w:fill="F2F5FA"/>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shd w:val="clear" w:color="auto" w:fill="F2F5FA"/>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vAlign w:val="center"/>
          </w:tcPr>
          <w:p>
            <w:pPr>
              <w:spacing w:after="0"/>
            </w:pPr>
            <w:r>
              <w:rPr>
                <w:rFonts w:ascii="游ゴシック" w:hAnsi="游ゴシック" w:eastAsia="游ゴシック"/>
                <w:b/>
                <w:sz w:val="18"/>
              </w:rPr>
              <w:t>14シートの行が1件も読めなかった</w:t>
            </w:r>
          </w:p>
        </w:tc>
        <w:tc>
          <w:tcPr>
            <w:tcW w:type="dxa" w:w="2608"/>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割合の分母を回収票数のままにしていた</w:t>
            </w:r>
          </w:p>
        </w:tc>
        <w:tc>
          <w:tcPr>
            <w:tcW w:type="dxa" w:w="2608"/>
            <w:shd w:val="clear" w:color="auto" w:fill="F2F5FA"/>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shd w:val="clear" w:color="auto" w:fill="F2F5FA"/>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shd w:val="clear" w:color="auto" w:fill="F2F5FA"/>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vAlign w:val="center"/>
          </w:tcPr>
          <w:p>
            <w:pPr>
              <w:spacing w:after="0"/>
            </w:pPr>
            <w:r>
              <w:rPr>
                <w:rFonts w:ascii="游ゴシック" w:hAnsi="游ゴシック" w:eastAsia="游ゴシック"/>
                <w:b/>
                <w:sz w:val="18"/>
              </w:rPr>
              <w:t>要介護度の有効回答を別の設問の分母に流用していた</w:t>
            </w:r>
          </w:p>
        </w:tc>
        <w:tc>
          <w:tcPr>
            <w:tcW w:type="dxa" w:w="2608"/>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代表KPIの定義が計画素案の中で新旧併存していた</w:t>
            </w:r>
          </w:p>
        </w:tc>
        <w:tc>
          <w:tcPr>
            <w:tcW w:type="dxa" w:w="2608"/>
            <w:shd w:val="clear" w:color="auto" w:fill="F2F5FA"/>
            <w:vAlign w:val="center"/>
          </w:tcPr>
          <w:p>
            <w:pPr>
              <w:spacing w:after="0"/>
            </w:pPr>
            <w:r>
              <w:rPr>
                <w:rFonts w:ascii="游ゴシック" w:hAnsi="游ゴシック" w:eastAsia="游ゴシック"/>
                <w:b w:val="0"/>
                <w:sz w:val="18"/>
              </w:rPr>
              <w:t>第5章第3節では代理指標へ振り替えた定義（算定可）を掲げる一方、各基本目標の達成目標と資料1には当初の定義と「算定不可」が残っていた（H06・H07・H08・H12・H16）</w:t>
            </w:r>
          </w:p>
        </w:tc>
        <w:tc>
          <w:tcPr>
            <w:tcW w:type="dxa" w:w="2041"/>
            <w:shd w:val="clear" w:color="auto" w:fill="F2F5FA"/>
            <w:vAlign w:val="center"/>
          </w:tcPr>
          <w:p>
            <w:pPr>
              <w:spacing w:after="0"/>
            </w:pPr>
            <w:r>
              <w:rPr>
                <w:rFonts w:ascii="游ゴシック" w:hAnsi="游ゴシック" w:eastAsia="游ゴシック"/>
                <w:b w:val="0"/>
                <w:sz w:val="18"/>
              </w:rPr>
              <w:t>KPIの名称・定義・算式・基準値を表ごとに書いていた</w:t>
            </w:r>
          </w:p>
        </w:tc>
        <w:tc>
          <w:tcPr>
            <w:tcW w:type="dxa" w:w="3175"/>
            <w:shd w:val="clear" w:color="auto" w:fill="F2F5FA"/>
            <w:vAlign w:val="center"/>
          </w:tcPr>
          <w:p>
            <w:pPr>
              <w:spacing w:after="0"/>
            </w:pPr>
            <w:r>
              <w:rPr>
                <w:rFonts w:ascii="游ゴシック" w:hAnsi="游ゴシック" w:eastAsia="游ゴシック"/>
                <w:b/>
                <w:sz w:val="18"/>
              </w:rPr>
              <w:t>代表KPIの定義を1つの辞書にまとめ、第5章第3節・各基本目標の達成目標・資料1のすべてがそこから引く形に改めた</w:t>
            </w:r>
          </w:p>
        </w:tc>
      </w:tr>
      <w:tr>
        <w:trPr>
          <w:cantSplit/>
        </w:trPr>
        <w:tc>
          <w:tcPr>
            <w:tcW w:type="dxa" w:w="1928"/>
            <w:vAlign w:val="center"/>
          </w:tcPr>
          <w:p>
            <w:pPr>
              <w:spacing w:after="0"/>
            </w:pPr>
            <w:r>
              <w:rPr>
                <w:rFonts w:ascii="游ゴシック" w:hAnsi="游ゴシック" w:eastAsia="游ゴシック"/>
                <w:b/>
                <w:sz w:val="18"/>
              </w:rPr>
              <w:t>目標年度と未達幅が対応していなかった</w:t>
            </w:r>
          </w:p>
        </w:tc>
        <w:tc>
          <w:tcPr>
            <w:tcW w:type="dxa" w:w="2608"/>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36件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926段落145表36図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18件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