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構造評価済：19施策中6施策は部分評価可能、13施策は指標不足。自己点検（自己点検記録）で29件を指摘し、うち5件は資料の受領により指摘のとおりであることが確認されたため評価の記述を訂正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健康とくらしの調査は個票4,729票を受領し分析完了。他3調査は第10期分102ファイルを受領し点検・集計済（点検事項35件、うち重大6件）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13施設が未回答（施設数ベースの把握率58.1％）</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見える化W144（性・年齢調整済み要介護2以上認定率・9.25％）。当初のB5-a【注目する地域のみ】18.4％は全国・北海道と比較できないため撤回した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13施設あることが分かりました。うち8施設は介護保険の指定を受けない住まい（住宅型有料老人ホーム6・サービス付き高齢者向け住宅1・軽費老人ホーム1）、5施設は指定を受ける施設・居住系（特別養護老人ホーム2・グループホーム2・特定施設1）です。区域内最大の特定施設（さわやか東神楽館・定員100人）も含まれま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515"/>
            <w:shd w:val="clear" w:fill="1F3864"/>
          </w:tcPr>
          <w:p>
            <w:pPr>
              <w:spacing w:after="20" w:before="20"/>
            </w:pPr>
            <w:r/>
            <w:r>
              <w:rPr>
                <w:rFonts w:ascii="游ゴシック" w:hAnsi="游ゴシック" w:eastAsia="游ゴシック"/>
                <w:b/>
                <w:color w:val="FFFFFF"/>
                <w:sz w:val="18"/>
              </w:rPr>
              <w:t>内容</w:t>
            </w:r>
          </w:p>
        </w:tc>
        <w:tc>
          <w:tcPr>
            <w:tcW w:type="dxa" w:w="907"/>
            <w:shd w:val="clear" w:fill="1F3864"/>
          </w:tcPr>
          <w:p>
            <w:pPr>
              <w:spacing w:after="20" w:before="20"/>
            </w:pPr>
            <w:r/>
            <w:r>
              <w:rPr>
                <w:rFonts w:ascii="游ゴシック" w:hAnsi="游ゴシック" w:eastAsia="游ゴシック"/>
                <w:b/>
                <w:color w:val="FFFFFF"/>
                <w:sz w:val="18"/>
              </w:rPr>
              <w:t>R9</w:t>
            </w:r>
          </w:p>
        </w:tc>
        <w:tc>
          <w:tcPr>
            <w:tcW w:type="dxa" w:w="907"/>
            <w:shd w:val="clear" w:fill="1F3864"/>
          </w:tcPr>
          <w:p>
            <w:pPr>
              <w:spacing w:after="20" w:before="20"/>
            </w:pPr>
            <w:r/>
            <w:r>
              <w:rPr>
                <w:rFonts w:ascii="游ゴシック" w:hAnsi="游ゴシック" w:eastAsia="游ゴシック"/>
                <w:b/>
                <w:color w:val="FFFFFF"/>
                <w:sz w:val="18"/>
              </w:rPr>
              <w:t>R10</w:t>
            </w:r>
          </w:p>
        </w:tc>
        <w:tc>
          <w:tcPr>
            <w:tcW w:type="dxa" w:w="907"/>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515"/>
          </w:tcPr>
          <w:p>
            <w:pPr>
              <w:spacing w:after="20" w:before="20"/>
            </w:pPr>
            <w:r/>
            <w:r>
              <w:rPr>
                <w:rFonts w:ascii="游ゴシック" w:hAnsi="游ゴシック" w:eastAsia="游ゴシック"/>
                <w:b w:val="0"/>
                <w:sz w:val="18"/>
              </w:rPr>
              <w:t>令和8年3月末の認定率をそのまま固定する</w:t>
            </w:r>
          </w:p>
        </w:tc>
        <w:tc>
          <w:tcPr>
            <w:tcW w:type="dxa" w:w="907"/>
          </w:tcPr>
          <w:p>
            <w:pPr>
              <w:spacing w:after="20" w:before="20"/>
            </w:pPr>
            <w:r/>
            <w:r>
              <w:rPr>
                <w:rFonts w:ascii="游ゴシック" w:hAnsi="游ゴシック" w:eastAsia="游ゴシック"/>
                <w:b w:val="0"/>
                <w:sz w:val="18"/>
              </w:rPr>
              <w:t>2,014</w:t>
            </w:r>
          </w:p>
        </w:tc>
        <w:tc>
          <w:tcPr>
            <w:tcW w:type="dxa" w:w="907"/>
          </w:tcPr>
          <w:p>
            <w:pPr>
              <w:spacing w:after="20" w:before="20"/>
            </w:pPr>
            <w:r/>
            <w:r>
              <w:rPr>
                <w:rFonts w:ascii="游ゴシック" w:hAnsi="游ゴシック" w:eastAsia="游ゴシック"/>
                <w:b w:val="0"/>
                <w:sz w:val="18"/>
              </w:rPr>
              <w:t>2,029</w:t>
            </w:r>
          </w:p>
        </w:tc>
        <w:tc>
          <w:tcPr>
            <w:tcW w:type="dxa" w:w="907"/>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515"/>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07"/>
          </w:tcPr>
          <w:p>
            <w:pPr>
              <w:spacing w:after="20" w:before="20"/>
            </w:pPr>
            <w:r/>
            <w:r>
              <w:rPr>
                <w:rFonts w:ascii="游ゴシック" w:hAnsi="游ゴシック" w:eastAsia="游ゴシック"/>
                <w:b w:val="0"/>
                <w:sz w:val="18"/>
              </w:rPr>
              <w:t>1,995</w:t>
            </w:r>
          </w:p>
        </w:tc>
        <w:tc>
          <w:tcPr>
            <w:tcW w:type="dxa" w:w="907"/>
          </w:tcPr>
          <w:p>
            <w:pPr>
              <w:spacing w:after="20" w:before="20"/>
            </w:pPr>
            <w:r/>
            <w:r>
              <w:rPr>
                <w:rFonts w:ascii="游ゴシック" w:hAnsi="游ゴシック" w:eastAsia="游ゴシック"/>
                <w:b w:val="0"/>
                <w:sz w:val="18"/>
              </w:rPr>
              <w:t>2,000</w:t>
            </w:r>
          </w:p>
        </w:tc>
        <w:tc>
          <w:tcPr>
            <w:tcW w:type="dxa" w:w="907"/>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515"/>
          </w:tcPr>
          <w:p>
            <w:pPr>
              <w:spacing w:after="20" w:before="20"/>
            </w:pPr>
            <w:r/>
            <w:r>
              <w:rPr>
                <w:rFonts w:ascii="游ゴシック" w:hAnsi="游ゴシック" w:eastAsia="游ゴシック"/>
                <w:b w:val="0"/>
                <w:sz w:val="18"/>
              </w:rPr>
              <w:t>令和11年度にかけて令和元年の水準へ戻る</w:t>
            </w:r>
          </w:p>
        </w:tc>
        <w:tc>
          <w:tcPr>
            <w:tcW w:type="dxa" w:w="907"/>
          </w:tcPr>
          <w:p>
            <w:pPr>
              <w:spacing w:after="20" w:before="20"/>
            </w:pPr>
            <w:r/>
            <w:r>
              <w:rPr>
                <w:rFonts w:ascii="游ゴシック" w:hAnsi="游ゴシック" w:eastAsia="游ゴシック"/>
                <w:b w:val="0"/>
                <w:sz w:val="18"/>
              </w:rPr>
              <w:t>2,048</w:t>
            </w:r>
          </w:p>
        </w:tc>
        <w:tc>
          <w:tcPr>
            <w:tcW w:type="dxa" w:w="907"/>
          </w:tcPr>
          <w:p>
            <w:pPr>
              <w:spacing w:after="20" w:before="20"/>
            </w:pPr>
            <w:r/>
            <w:r>
              <w:rPr>
                <w:rFonts w:ascii="游ゴシック" w:hAnsi="游ゴシック" w:eastAsia="游ゴシック"/>
                <w:b w:val="0"/>
                <w:sz w:val="18"/>
              </w:rPr>
              <w:t>2,080</w:t>
            </w:r>
          </w:p>
        </w:tc>
        <w:tc>
          <w:tcPr>
            <w:tcW w:type="dxa" w:w="907"/>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令和6～8年度実績の受領、3調査の点検事項の解消（重大6件のご意向の確認）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35件の取扱い。特に重大6件（職員数の二重計上、利用者票の回答の偏り、所在地区の集計の可否、老健・通所リハの介護職員数と見える化の乖離、区域内最大の特定施設の未回答、区域内の施設数と未回答数）</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実施済み3調査の点検事項の取扱い（重大6件）と事業所への照会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35件を整理し、重大6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