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9,031,900,444円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6,436円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4件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保険料基準額は、算定上の月額6,436円を百円未満四捨五入して6,400円となり、第9期の基準額（6,400円）と同額です。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ただし、6,436円は据え置き前提の下限に近い値です。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1.75％で伸びてきたことを見込んでいません。これを織り込むと月額は＋185円から＋374円に当たります。令和9年度は介護報酬改定の年であり、改定率3％なら＋182円です。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2,978,267,893</w:t>
            </w:r>
          </w:p>
        </w:tc>
        <w:tc>
          <w:tcPr>
            <w:tcW w:type="dxa" w:w="2948"/>
            <w:vAlign w:val="center"/>
          </w:tcPr>
          <w:p>
            <w:pPr>
              <w:spacing w:after="0"/>
              <w:jc w:val="right"/>
            </w:pPr>
            <w:r>
              <w:rPr>
                <w:rFonts w:ascii="游ゴシック" w:hAnsi="游ゴシック" w:eastAsia="游ゴシック"/>
                <w:b w:val="0"/>
                <w:sz w:val="17"/>
              </w:rPr>
              <w:t>3,010,470,894</w:t>
            </w:r>
          </w:p>
        </w:tc>
        <w:tc>
          <w:tcPr>
            <w:tcW w:type="dxa" w:w="2948"/>
            <w:vAlign w:val="center"/>
          </w:tcPr>
          <w:p>
            <w:pPr>
              <w:spacing w:after="0"/>
              <w:jc w:val="right"/>
            </w:pPr>
            <w:r>
              <w:rPr>
                <w:rFonts w:ascii="游ゴシック" w:hAnsi="游ゴシック" w:eastAsia="游ゴシック"/>
                <w:b w:val="0"/>
                <w:sz w:val="17"/>
              </w:rPr>
              <w:t>3,043,161,657</w:t>
            </w:r>
          </w:p>
        </w:tc>
        <w:tc>
          <w:tcPr>
            <w:tcW w:type="dxa" w:w="3175"/>
            <w:vAlign w:val="center"/>
          </w:tcPr>
          <w:p>
            <w:pPr>
              <w:spacing w:after="0"/>
              <w:jc w:val="right"/>
            </w:pPr>
            <w:r>
              <w:rPr>
                <w:rFonts w:ascii="游ゴシック" w:hAnsi="游ゴシック" w:eastAsia="游ゴシック"/>
                <w:b w:val="0"/>
                <w:sz w:val="17"/>
              </w:rPr>
              <w:t>9,031,900,444</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9,565,616,321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10,097,100,098</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9,887,004,275</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2,322,333,022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494,350,214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729,213,412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2,087,469,824</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2,087,469,824円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6,436円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保険料は3か年同一です。年度別の月額は6,394円・6,436円・6,478円で、その平均が6,436円になります。</w:t>
        <w:br/>
        <w:t>第9期計画は算定上の月額6,428円を百円未満四捨五入して基準額6,400円としています。第10期も同じ扱いとすると、本書の算定（6,436円）でも基準額は6,400円となり、第9期と同額です。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3,043,161,657</w:t>
            </w:r>
          </w:p>
        </w:tc>
        <w:tc>
          <w:tcPr>
            <w:tcW w:type="dxa" w:w="2608"/>
            <w:shd w:val="clear" w:color="auto" w:fill="F2F5FA"/>
            <w:vAlign w:val="center"/>
          </w:tcPr>
          <w:p>
            <w:pPr>
              <w:spacing w:after="0"/>
              <w:jc w:val="right"/>
            </w:pPr>
            <w:r>
              <w:rPr>
                <w:rFonts w:ascii="游ゴシック" w:hAnsi="游ゴシック" w:eastAsia="游ゴシック"/>
                <w:b w:val="0"/>
                <w:sz w:val="17"/>
              </w:rPr>
              <w:t>3,310,122,835</w:t>
            </w:r>
          </w:p>
        </w:tc>
        <w:tc>
          <w:tcPr>
            <w:tcW w:type="dxa" w:w="2608"/>
            <w:shd w:val="clear" w:color="auto" w:fill="F2F5FA"/>
            <w:vAlign w:val="center"/>
          </w:tcPr>
          <w:p>
            <w:pPr>
              <w:spacing w:after="0"/>
              <w:jc w:val="right"/>
            </w:pPr>
            <w:r>
              <w:rPr>
                <w:rFonts w:ascii="游ゴシック" w:hAnsi="游ゴシック" w:eastAsia="游ゴシック"/>
                <w:b w:val="0"/>
                <w:sz w:val="17"/>
              </w:rPr>
              <w:t>3,408,932,536</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区分A　受託者の側で確定できるもの（4件）</w:t>
      </w:r>
    </w:p>
    <w:p>
      <w:pPr>
        <w:spacing w:after="80"/>
      </w:pPr>
      <w:r>
        <w:rPr>
          <w:rFonts w:ascii="游ゴシック" w:hAnsi="游ゴシック" w:eastAsia="游ゴシック"/>
          <w:b w:val="0"/>
          <w:sz w:val="20"/>
        </w:rPr>
        <w:t>資料は要りません。すでに確定しています。</w:t>
      </w:r>
    </w:p>
    <w:p>
      <w:pPr>
        <w:keepNext/>
        <w:spacing w:before="140" w:after="40"/>
      </w:pPr>
      <w:r>
        <w:rPr>
          <w:rFonts w:ascii="游ゴシック" w:hAnsi="游ゴシック" w:eastAsia="游ゴシック"/>
          <w:b/>
          <w:sz w:val="20"/>
        </w:rPr>
        <w:t>表13　受託者の側で確定できるもの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ツールから要介護度間の比（形）だけを採り、水準は総括表に合わせて比例調整した。採用値は単価固定（06シート）のままとし、07シートに別掲した</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要介護度別の単価を用いると令和11年度＋0.047％（月額＋2円）、令和22年度＋0.280％</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令和7年度の実績で固定した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回数のみでは月額への効きは小さい</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年齢階級ごとの要介護度の構成を令和7年度末の実績で固定した。年齢構成の変化による重度化は反映される</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一律の伸びとの差は月額+8円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改定率1％あたり月額＋61円。単価の年率1.75％の伸びを見込まないことは月額＋185〜＋374円に当た</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6,436円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6,497円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6,618円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＋182円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単価の趨勢（年率1.75％）を織り込む（下）</w:t>
            </w:r>
          </w:p>
        </w:tc>
        <w:tc>
          <w:tcPr>
            <w:tcW w:type="dxa" w:w="1701"/>
            <w:shd w:val="clear" w:color="auto" w:fill="F2F5FA"/>
            <w:vAlign w:val="center"/>
          </w:tcPr>
          <w:p>
            <w:pPr>
              <w:spacing w:after="0"/>
              <w:jc w:val="right"/>
            </w:pPr>
            <w:r>
              <w:rPr>
                <w:rFonts w:ascii="游ゴシック" w:hAnsi="游ゴシック" w:eastAsia="游ゴシック"/>
                <w:b w:val="0"/>
                <w:sz w:val="17"/>
              </w:rPr>
              <w:t>6,621円</w:t>
            </w:r>
          </w:p>
        </w:tc>
        <w:tc>
          <w:tcPr>
            <w:tcW w:type="dxa" w:w="1928"/>
            <w:shd w:val="clear" w:color="auto" w:fill="F2F5FA"/>
            <w:vAlign w:val="center"/>
          </w:tcPr>
          <w:p>
            <w:pPr>
              <w:spacing w:after="0"/>
              <w:jc w:val="right"/>
            </w:pPr>
            <w:r>
              <w:rPr>
                <w:rFonts w:ascii="游ゴシック" w:hAnsi="游ゴシック" w:eastAsia="游ゴシック"/>
                <w:b w:val="0"/>
                <w:sz w:val="17"/>
              </w:rPr>
              <w:t>6,600円</w:t>
            </w:r>
          </w:p>
        </w:tc>
        <w:tc>
          <w:tcPr>
            <w:tcW w:type="dxa" w:w="1701"/>
            <w:shd w:val="clear" w:color="auto" w:fill="F2F5FA"/>
            <w:vAlign w:val="center"/>
          </w:tcPr>
          <w:p>
            <w:pPr>
              <w:spacing w:after="0"/>
              <w:jc w:val="right"/>
            </w:pPr>
            <w:r>
              <w:rPr>
                <w:rFonts w:ascii="游ゴシック" w:hAnsi="游ゴシック" w:eastAsia="游ゴシック"/>
                <w:b w:val="0"/>
                <w:sz w:val="17"/>
              </w:rPr>
              <w:t>＋185円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単価の趨勢（年率1.75％）を織り込む（上）</w:t>
            </w:r>
          </w:p>
        </w:tc>
        <w:tc>
          <w:tcPr>
            <w:tcW w:type="dxa" w:w="1701"/>
            <w:vAlign w:val="center"/>
          </w:tcPr>
          <w:p>
            <w:pPr>
              <w:spacing w:after="0"/>
              <w:jc w:val="right"/>
            </w:pPr>
            <w:r>
              <w:rPr>
                <w:rFonts w:ascii="游ゴシック" w:hAnsi="游ゴシック" w:eastAsia="游ゴシック"/>
                <w:b w:val="0"/>
                <w:sz w:val="17"/>
              </w:rPr>
              <w:t>6,810円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＋374円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6,726円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＋290円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6,126円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▲310円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6436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据え置き23件＝A4＋B15＋C4</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2</w:t>
            </w:r>
          </w:p>
        </w:tc>
        <w:tc>
          <w:tcPr>
            <w:tcW w:type="dxa" w:w="4535"/>
            <w:shd w:val="clear" w:color="auto" w:fill="F2F5FA"/>
            <w:vAlign w:val="center"/>
          </w:tcPr>
          <w:p>
            <w:pPr>
              <w:spacing w:after="0"/>
            </w:pPr>
            <w:r>
              <w:rPr>
                <w:rFonts w:ascii="游ゴシック" w:hAnsi="游ゴシック" w:eastAsia="游ゴシック"/>
                <w:b w:val="0"/>
                <w:sz w:val="17"/>
              </w:rPr>
              <w:t>総給付費（3か年計）</w:t>
            </w:r>
          </w:p>
        </w:tc>
        <w:tc>
          <w:tcPr>
            <w:tcW w:type="dxa" w:w="6803"/>
            <w:shd w:val="clear" w:color="auto" w:fill="F2F5FA"/>
            <w:vAlign w:val="center"/>
          </w:tcPr>
          <w:p>
            <w:pPr>
              <w:spacing w:after="0"/>
            </w:pPr>
            <w:r>
              <w:rPr>
                <w:rFonts w:ascii="游ゴシック" w:hAnsi="游ゴシック" w:eastAsia="游ゴシック"/>
                <w:b w:val="0"/>
                <w:sz w:val="17"/>
              </w:rPr>
              <w:t>9,031,900,443.929735円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3</w:t>
            </w:r>
          </w:p>
        </w:tc>
        <w:tc>
          <w:tcPr>
            <w:tcW w:type="dxa" w:w="4535"/>
            <w:vAlign w:val="center"/>
          </w:tcPr>
          <w:p>
            <w:pPr>
              <w:spacing w:after="0"/>
            </w:pPr>
            <w:r>
              <w:rPr>
                <w:rFonts w:ascii="游ゴシック" w:hAnsi="游ゴシック" w:eastAsia="游ゴシック"/>
                <w:b w:val="0"/>
                <w:sz w:val="17"/>
              </w:rPr>
              <w:t>算定上の月額基準額</w:t>
            </w:r>
          </w:p>
        </w:tc>
        <w:tc>
          <w:tcPr>
            <w:tcW w:type="dxa" w:w="6803"/>
            <w:vAlign w:val="center"/>
          </w:tcPr>
          <w:p>
            <w:pPr>
              <w:spacing w:after="0"/>
            </w:pPr>
            <w:r>
              <w:rPr>
                <w:rFonts w:ascii="游ゴシック" w:hAnsi="游ゴシック" w:eastAsia="游ゴシック"/>
                <w:b w:val="0"/>
                <w:sz w:val="17"/>
              </w:rPr>
              <w:t>6436円（一律の伸びなら6428円、見える化の自然体推計なら6740円）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4</w:t>
            </w:r>
          </w:p>
        </w:tc>
        <w:tc>
          <w:tcPr>
            <w:tcW w:type="dxa" w:w="4535"/>
            <w:shd w:val="clear" w:color="auto" w:fill="F2F5FA"/>
            <w:vAlign w:val="center"/>
          </w:tcPr>
          <w:p>
            <w:pPr>
              <w:spacing w:after="0"/>
            </w:pPr>
            <w:r>
              <w:rPr>
                <w:rFonts w:ascii="游ゴシック" w:hAnsi="游ゴシック" w:eastAsia="游ゴシック"/>
                <w:b w:val="0"/>
                <w:sz w:val="17"/>
              </w:rPr>
              <w:t>基準年度の給付費が総括表と一致すること</w:t>
            </w:r>
          </w:p>
        </w:tc>
        <w:tc>
          <w:tcPr>
            <w:tcW w:type="dxa" w:w="6803"/>
            <w:shd w:val="clear" w:color="auto" w:fill="F2F5FA"/>
            <w:vAlign w:val="center"/>
          </w:tcPr>
          <w:p>
            <w:pPr>
              <w:spacing w:after="0"/>
            </w:pPr>
            <w:r>
              <w:rPr>
                <w:rFonts w:ascii="游ゴシック" w:hAnsi="游ゴシック" w:eastAsia="游ゴシック"/>
                <w:b w:val="0"/>
                <w:sz w:val="17"/>
              </w:rPr>
              <w:t>2,915,307,125円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5</w:t>
            </w:r>
          </w:p>
        </w:tc>
        <w:tc>
          <w:tcPr>
            <w:tcW w:type="dxa" w:w="4535"/>
            <w:vAlign w:val="center"/>
          </w:tcPr>
          <w:p>
            <w:pPr>
              <w:spacing w:after="0"/>
            </w:pPr>
            <w:r>
              <w:rPr>
                <w:rFonts w:ascii="游ゴシック" w:hAnsi="游ゴシック" w:eastAsia="游ゴシック"/>
                <w:b w:val="0"/>
                <w:sz w:val="17"/>
              </w:rPr>
              <w:t>サービスの数</w:t>
            </w:r>
          </w:p>
        </w:tc>
        <w:tc>
          <w:tcPr>
            <w:tcW w:type="dxa" w:w="6803"/>
            <w:vAlign w:val="center"/>
          </w:tcPr>
          <w:p>
            <w:pPr>
              <w:spacing w:after="0"/>
            </w:pPr>
            <w:r>
              <w:rPr>
                <w:rFonts w:ascii="游ゴシック" w:hAnsi="游ゴシック" w:eastAsia="游ゴシック"/>
                <w:b w:val="0"/>
                <w:sz w:val="17"/>
              </w:rPr>
              <w:t>29区分（施設5・居住系3・在宅21）</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6</w:t>
            </w:r>
          </w:p>
        </w:tc>
        <w:tc>
          <w:tcPr>
            <w:tcW w:type="dxa" w:w="4535"/>
            <w:shd w:val="clear" w:color="auto" w:fill="F2F5FA"/>
            <w:vAlign w:val="center"/>
          </w:tcPr>
          <w:p>
            <w:pPr>
              <w:spacing w:after="0"/>
            </w:pPr>
            <w:r>
              <w:rPr>
                <w:rFonts w:ascii="游ゴシック" w:hAnsi="游ゴシック" w:eastAsia="游ゴシック"/>
                <w:b w:val="0"/>
                <w:sz w:val="17"/>
              </w:rPr>
              <w:t>利用回（日）数を立てたサービスの数</w:t>
            </w:r>
          </w:p>
        </w:tc>
        <w:tc>
          <w:tcPr>
            <w:tcW w:type="dxa" w:w="6803"/>
            <w:shd w:val="clear" w:color="auto" w:fill="F2F5FA"/>
            <w:vAlign w:val="center"/>
          </w:tcPr>
          <w:p>
            <w:pPr>
              <w:spacing w:after="0"/>
            </w:pPr>
            <w:r>
              <w:rPr>
                <w:rFonts w:ascii="游ゴシック" w:hAnsi="游ゴシック" w:eastAsia="游ゴシック"/>
                <w:b w:val="0"/>
                <w:sz w:val="17"/>
              </w:rPr>
              <w:t>12区分（うち実績があるもの10区分）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7</w:t>
            </w:r>
          </w:p>
        </w:tc>
        <w:tc>
          <w:tcPr>
            <w:tcW w:type="dxa" w:w="4535"/>
            <w:vAlign w:val="center"/>
          </w:tcPr>
          <w:p>
            <w:pPr>
              <w:spacing w:after="0"/>
            </w:pPr>
            <w:r>
              <w:rPr>
                <w:rFonts w:ascii="游ゴシック" w:hAnsi="游ゴシック" w:eastAsia="游ゴシック"/>
                <w:b w:val="0"/>
                <w:sz w:val="17"/>
              </w:rPr>
              <w:t>地域支援事業の量の項目数</w:t>
            </w:r>
          </w:p>
        </w:tc>
        <w:tc>
          <w:tcPr>
            <w:tcW w:type="dxa" w:w="6803"/>
            <w:vAlign w:val="center"/>
          </w:tcPr>
          <w:p>
            <w:pPr>
              <w:spacing w:after="0"/>
            </w:pPr>
            <w:r>
              <w:rPr>
                <w:rFonts w:ascii="游ゴシック" w:hAnsi="游ゴシック" w:eastAsia="游ゴシック"/>
                <w:b w:val="0"/>
                <w:sz w:val="17"/>
              </w:rPr>
              <w:t>総合事業9件・一般介護予防3件</w:t>
            </w:r>
          </w:p>
        </w:tc>
        <w:tc>
          <w:tcPr>
            <w:tcW w:type="dxa" w:w="1134"/>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