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素案（第3版）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（参考）小規模市町村地域支援連携協働体制整備事業（令和9年4月1日新設）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r>
        <w:rPr>
          <w:rFonts w:ascii="游ゴシック" w:hAnsi="游ゴシック" w:eastAsia="游ゴシック"/>
          <w:b/>
          <w:i w:val="0"/>
          <w:sz w:val="21"/>
        </w:rPr>
        <w:t>なお、この改正により同法の題名そのものが「医療的ケア児等及び重症心身障害者並びにそれらの家族に対する支援に関する法律」に改められます</w:t>
      </w:r>
      <w:r>
        <w:rPr>
          <w:rFonts w:ascii="游ゴシック" w:hAnsi="游ゴシック" w:eastAsia="游ゴシック"/>
          <w:b w:val="0"/>
          <w:i w:val="0"/>
          <w:sz w:val="21"/>
        </w:rPr>
        <w:t>（現行は「医療的ケア児及びその家族に対する支援に関する法律」）。</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【表1】第1部第1章　計画策定にあたって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障害福祉サービス等の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【表2】第1部第1章　計画策定にあたって（2）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障害福祉サービス等の必要な量の見込み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i w:val="0"/>
                <w:sz w:val="17"/>
              </w:rPr>
              <w:t>障害者総合支援法第88条第7項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児童福祉法第33条の20第7項</w:t>
            </w:r>
          </w:p>
        </w:tc>
        <w:tc>
          <w:tcPr>
            <w:tcW w:type="dxa" w:w="3969"/>
            <w:vAlign w:val="center"/>
          </w:tcPr>
          <w:p>
            <w:pPr>
              <w:spacing w:before="20" w:after="20"/>
            </w:pPr>
            <w:r>
              <w:rPr>
                <w:rFonts w:ascii="游ゴシック" w:hAnsi="游ゴシック" w:eastAsia="游ゴシック"/>
                <w:b/>
                <w:i w:val="0"/>
                <w:sz w:val="17"/>
              </w:rPr>
              <w:t>市町村障害者計画（障害者基本法第11条第3項）・市町村地域福祉計画（社会福祉法第107条第1項）その他の計画と調和が保たれたもの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r>
        <w:tc>
          <w:tcPr>
            <w:tcW w:type="dxa" w:w="2268"/>
            <w:vAlign w:val="center"/>
          </w:tcPr>
          <w:p>
            <w:pPr>
              <w:spacing w:before="20" w:after="20"/>
            </w:pPr>
            <w:r>
              <w:rPr>
                <w:rFonts w:ascii="游ゴシック" w:hAnsi="游ゴシック" w:eastAsia="游ゴシック"/>
                <w:b w:val="0"/>
                <w:i w:val="0"/>
                <w:sz w:val="17"/>
              </w:rPr>
              <w:t>障害者総合支援法第88条第6項・児童福祉法第33条の20第6項</w:t>
            </w:r>
          </w:p>
        </w:tc>
        <w:tc>
          <w:tcPr>
            <w:tcW w:type="dxa" w:w="3969"/>
            <w:vAlign w:val="center"/>
          </w:tcPr>
          <w:p>
            <w:pPr>
              <w:spacing w:before="20" w:after="20"/>
            </w:pPr>
            <w:r>
              <w:rPr>
                <w:rFonts w:ascii="游ゴシック" w:hAnsi="游ゴシック" w:eastAsia="游ゴシック"/>
                <w:b w:val="0"/>
                <w:i w:val="0"/>
                <w:sz w:val="17"/>
              </w:rPr>
              <w:t>市町村障害福祉計画と市町村障害児福祉計画を</w:t>
            </w:r>
            <w:r>
              <w:rPr>
                <w:rFonts w:ascii="游ゴシック" w:hAnsi="游ゴシック" w:eastAsia="游ゴシック"/>
                <w:b/>
                <w:i w:val="0"/>
                <w:sz w:val="17"/>
              </w:rPr>
              <w:t>一体のものとして作成することができる</w:t>
            </w:r>
          </w:p>
        </w:tc>
        <w:tc>
          <w:tcPr>
            <w:tcW w:type="dxa" w:w="1361"/>
            <w:vAlign w:val="center"/>
          </w:tcPr>
          <w:p>
            <w:pPr>
              <w:spacing w:before="20" w:after="20"/>
            </w:pPr>
            <w:r>
              <w:rPr>
                <w:rFonts w:ascii="游ゴシック" w:hAnsi="游ゴシック" w:eastAsia="游ゴシック"/>
                <w:b w:val="0"/>
                <w:i w:val="0"/>
                <w:sz w:val="17"/>
              </w:rPr>
              <w:t>できる規定</w:t>
            </w:r>
          </w:p>
        </w:tc>
        <w:tc>
          <w:tcPr>
            <w:tcW w:type="dxa" w:w="2154"/>
            <w:vAlign w:val="center"/>
          </w:tcPr>
          <w:p>
            <w:pPr>
              <w:spacing w:before="20" w:after="20"/>
            </w:pPr>
            <w:r>
              <w:rPr>
                <w:rFonts w:ascii="游ゴシック" w:hAnsi="游ゴシック" w:eastAsia="游ゴシック"/>
                <w:b w:val="0"/>
                <w:i w:val="0"/>
                <w:sz w:val="17"/>
              </w:rPr>
              <w:t>第1部第1章2</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【表3】第1部第1章　計画策定にあたって（3）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【表4】第1部第1章　計画策定にあたって（4）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障害者総合支援法第88条第7項及び児童福祉法第33条の20第7項</w:t>
      </w:r>
      <w:r>
        <w:rPr>
          <w:rFonts w:ascii="游ゴシック" w:hAnsi="游ゴシック" w:eastAsia="游ゴシック"/>
          <w:b w:val="0"/>
          <w:i w:val="0"/>
          <w:sz w:val="17"/>
        </w:rPr>
        <w:t>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条項の番号は、現行条文（e-Gov 法令API・令和8年10月19日取得）で確かめました。</w:t>
      </w:r>
      <w:r>
        <w:rPr>
          <w:rFonts w:ascii="游ゴシック" w:hAnsi="游ゴシック" w:eastAsia="游ゴシック"/>
          <w:b w:val="0"/>
          <w:i w:val="0"/>
          <w:sz w:val="17"/>
        </w:rPr>
        <w:t xml:space="preserve"> いずれも全12項で、令和8年法律第51号による項の繰り下がりはありません。</w:t>
      </w:r>
      <w:r>
        <w:rPr>
          <w:rFonts w:ascii="游ゴシック" w:hAnsi="游ゴシック" w:eastAsia="游ゴシック"/>
          <w:b/>
          <w:i w:val="0"/>
          <w:sz w:val="17"/>
        </w:rPr>
        <w:t>第6項は、障害福祉計画と障害児福祉計画を一体のものとして作成することができるとしています。本計画はこれによります。</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【表5】第1部第1章　計画策定にあたって（5）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【表6】第1部第1章　計画策定にあたって（6）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【表7】第1部第1章　計画策定にあたって（7）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【表8】第1部第1章　計画策定にあたって（8）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【表9】第1部第1章　計画策定にあたって（9）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障がい者手帳所持者の状況と見通し</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【表10】第1部第2章　障がいのある人を取り巻く状況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964"/>
        <w:gridCol w:w="964"/>
        <w:gridCol w:w="964"/>
        <w:gridCol w:w="964"/>
        <w:gridCol w:w="964"/>
        <w:gridCol w:w="964"/>
        <w:gridCol w:w="964"/>
        <w:gridCol w:w="96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令和8年</w:t>
            </w:r>
          </w:p>
        </w:tc>
      </w:tr>
      <w:tr>
        <w:tc>
          <w:tcPr>
            <w:tcW w:type="dxa" w:w="2041"/>
            <w:vAlign w:val="center"/>
          </w:tcPr>
          <w:p>
            <w:pPr>
              <w:spacing w:before="20" w:after="20"/>
            </w:pPr>
            <w:r>
              <w:rPr>
                <w:rFonts w:ascii="游ゴシック" w:hAnsi="游ゴシック" w:eastAsia="游ゴシック"/>
                <w:b w:val="0"/>
                <w:i w:val="0"/>
                <w:sz w:val="17"/>
              </w:rPr>
              <w:t>身体障害者手帳</w:t>
            </w:r>
          </w:p>
        </w:tc>
        <w:tc>
          <w:tcPr>
            <w:tcW w:type="dxa" w:w="964"/>
            <w:vAlign w:val="center"/>
          </w:tcPr>
          <w:p>
            <w:pPr>
              <w:spacing w:before="20" w:after="20"/>
              <w:jc w:val="right"/>
            </w:pPr>
            <w:r>
              <w:rPr>
                <w:rFonts w:ascii="游ゴシック" w:hAnsi="游ゴシック" w:eastAsia="游ゴシック"/>
                <w:b w:val="0"/>
                <w:i w:val="0"/>
                <w:sz w:val="17"/>
              </w:rPr>
              <w:t>452人</w:t>
            </w:r>
          </w:p>
        </w:tc>
        <w:tc>
          <w:tcPr>
            <w:tcW w:type="dxa" w:w="964"/>
            <w:vAlign w:val="center"/>
          </w:tcPr>
          <w:p>
            <w:pPr>
              <w:spacing w:before="20" w:after="20"/>
              <w:jc w:val="right"/>
            </w:pPr>
            <w:r>
              <w:rPr>
                <w:rFonts w:ascii="游ゴシック" w:hAnsi="游ゴシック" w:eastAsia="游ゴシック"/>
                <w:b w:val="0"/>
                <w:i w:val="0"/>
                <w:sz w:val="17"/>
              </w:rPr>
              <w:t>448人</w:t>
            </w:r>
          </w:p>
        </w:tc>
        <w:tc>
          <w:tcPr>
            <w:tcW w:type="dxa" w:w="964"/>
            <w:vAlign w:val="center"/>
          </w:tcPr>
          <w:p>
            <w:pPr>
              <w:spacing w:before="20" w:after="20"/>
              <w:jc w:val="right"/>
            </w:pPr>
            <w:r>
              <w:rPr>
                <w:rFonts w:ascii="游ゴシック" w:hAnsi="游ゴシック" w:eastAsia="游ゴシック"/>
                <w:b w:val="0"/>
                <w:i w:val="0"/>
                <w:sz w:val="17"/>
              </w:rPr>
              <w:t>438人</w:t>
            </w:r>
          </w:p>
        </w:tc>
        <w:tc>
          <w:tcPr>
            <w:tcW w:type="dxa" w:w="964"/>
            <w:vAlign w:val="center"/>
          </w:tcPr>
          <w:p>
            <w:pPr>
              <w:spacing w:before="20" w:after="20"/>
              <w:jc w:val="right"/>
            </w:pPr>
            <w:r>
              <w:rPr>
                <w:rFonts w:ascii="游ゴシック" w:hAnsi="游ゴシック" w:eastAsia="游ゴシック"/>
                <w:b w:val="0"/>
                <w:i w:val="0"/>
                <w:sz w:val="17"/>
              </w:rPr>
              <w:t>431人</w:t>
            </w:r>
          </w:p>
        </w:tc>
        <w:tc>
          <w:tcPr>
            <w:tcW w:type="dxa" w:w="964"/>
            <w:vAlign w:val="center"/>
          </w:tcPr>
          <w:p>
            <w:pPr>
              <w:spacing w:before="20" w:after="20"/>
              <w:jc w:val="right"/>
            </w:pPr>
            <w:r>
              <w:rPr>
                <w:rFonts w:ascii="游ゴシック" w:hAnsi="游ゴシック" w:eastAsia="游ゴシック"/>
                <w:b w:val="0"/>
                <w:i w:val="0"/>
                <w:sz w:val="17"/>
              </w:rPr>
              <w:t>412人</w:t>
            </w:r>
          </w:p>
        </w:tc>
        <w:tc>
          <w:tcPr>
            <w:tcW w:type="dxa" w:w="964"/>
            <w:vAlign w:val="center"/>
          </w:tcPr>
          <w:p>
            <w:pPr>
              <w:spacing w:before="20" w:after="20"/>
              <w:jc w:val="right"/>
            </w:pPr>
            <w:r>
              <w:rPr>
                <w:rFonts w:ascii="游ゴシック" w:hAnsi="游ゴシック" w:eastAsia="游ゴシック"/>
                <w:b w:val="0"/>
                <w:i w:val="0"/>
                <w:sz w:val="17"/>
              </w:rPr>
              <w:t>406人</w:t>
            </w:r>
          </w:p>
        </w:tc>
        <w:tc>
          <w:tcPr>
            <w:tcW w:type="dxa" w:w="964"/>
            <w:vAlign w:val="center"/>
          </w:tcPr>
          <w:p>
            <w:pPr>
              <w:spacing w:before="20" w:after="20"/>
              <w:jc w:val="right"/>
            </w:pPr>
            <w:r>
              <w:rPr>
                <w:rFonts w:ascii="游ゴシック" w:hAnsi="游ゴシック" w:eastAsia="游ゴシック"/>
                <w:b w:val="0"/>
                <w:i w:val="0"/>
                <w:sz w:val="17"/>
              </w:rPr>
              <w:t>372人</w:t>
            </w:r>
          </w:p>
        </w:tc>
        <w:tc>
          <w:tcPr>
            <w:tcW w:type="dxa" w:w="964"/>
            <w:vAlign w:val="center"/>
          </w:tcPr>
          <w:p>
            <w:pPr>
              <w:spacing w:before="20" w:after="20"/>
              <w:jc w:val="right"/>
            </w:pPr>
            <w:r>
              <w:rPr>
                <w:rFonts w:ascii="游ゴシック" w:hAnsi="游ゴシック" w:eastAsia="游ゴシック"/>
                <w:b w:val="0"/>
                <w:i w:val="0"/>
                <w:sz w:val="17"/>
              </w:rPr>
              <w:t>363人</w:t>
            </w:r>
          </w:p>
        </w:tc>
      </w:tr>
      <w:tr>
        <w:tc>
          <w:tcPr>
            <w:tcW w:type="dxa" w:w="2041"/>
            <w:vAlign w:val="center"/>
          </w:tcPr>
          <w:p>
            <w:pPr>
              <w:spacing w:before="20" w:after="20"/>
            </w:pPr>
            <w:r>
              <w:rPr>
                <w:rFonts w:ascii="游ゴシック" w:hAnsi="游ゴシック" w:eastAsia="游ゴシック"/>
                <w:b w:val="0"/>
                <w:i w:val="0"/>
                <w:sz w:val="17"/>
              </w:rPr>
              <w:t>療育手帳</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80人</w:t>
            </w:r>
          </w:p>
        </w:tc>
        <w:tc>
          <w:tcPr>
            <w:tcW w:type="dxa" w:w="964"/>
            <w:vAlign w:val="center"/>
          </w:tcPr>
          <w:p>
            <w:pPr>
              <w:spacing w:before="20" w:after="20"/>
              <w:jc w:val="right"/>
            </w:pPr>
            <w:r>
              <w:rPr>
                <w:rFonts w:ascii="游ゴシック" w:hAnsi="游ゴシック" w:eastAsia="游ゴシック"/>
                <w:b w:val="0"/>
                <w:i w:val="0"/>
                <w:sz w:val="17"/>
              </w:rPr>
              <w:t>79人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74人</w:t>
            </w:r>
          </w:p>
        </w:tc>
        <w:tc>
          <w:tcPr>
            <w:tcW w:type="dxa" w:w="964"/>
            <w:vAlign w:val="center"/>
          </w:tcPr>
          <w:p>
            <w:pPr>
              <w:spacing w:before="20" w:after="20"/>
              <w:jc w:val="right"/>
            </w:pPr>
            <w:r>
              <w:rPr>
                <w:rFonts w:ascii="游ゴシック" w:hAnsi="游ゴシック" w:eastAsia="游ゴシック"/>
                <w:b w:val="0"/>
                <w:i w:val="0"/>
                <w:sz w:val="17"/>
              </w:rPr>
              <w:t>72人</w:t>
            </w:r>
          </w:p>
        </w:tc>
      </w:tr>
      <w:tr>
        <w:tc>
          <w:tcPr>
            <w:tcW w:type="dxa" w:w="2041"/>
            <w:vAlign w:val="center"/>
          </w:tcPr>
          <w:p>
            <w:pPr>
              <w:keepNext/>
              <w:spacing w:before="20" w:after="20"/>
            </w:pPr>
            <w:r>
              <w:rPr>
                <w:rFonts w:ascii="游ゴシック" w:hAnsi="游ゴシック" w:eastAsia="游ゴシック"/>
                <w:b w:val="0"/>
                <w:i w:val="0"/>
                <w:sz w:val="17"/>
              </w:rPr>
              <w:t>精神障害者保健福祉手帳</w:t>
            </w:r>
          </w:p>
        </w:tc>
        <w:tc>
          <w:tcPr>
            <w:tcW w:type="dxa" w:w="964"/>
            <w:vAlign w:val="center"/>
          </w:tcPr>
          <w:p>
            <w:pPr>
              <w:keepNext/>
              <w:spacing w:before="20" w:after="20"/>
              <w:jc w:val="right"/>
            </w:pPr>
            <w:r>
              <w:rPr>
                <w:rFonts w:ascii="游ゴシック" w:hAnsi="游ゴシック" w:eastAsia="游ゴシック"/>
                <w:b w:val="0"/>
                <w:i w:val="0"/>
                <w:sz w:val="17"/>
              </w:rPr>
              <w:t>49人</w:t>
            </w:r>
          </w:p>
        </w:tc>
        <w:tc>
          <w:tcPr>
            <w:tcW w:type="dxa" w:w="964"/>
            <w:vAlign w:val="center"/>
          </w:tcPr>
          <w:p>
            <w:pPr>
              <w:keepNext/>
              <w:spacing w:before="20" w:after="20"/>
              <w:jc w:val="right"/>
            </w:pPr>
            <w:r>
              <w:rPr>
                <w:rFonts w:ascii="游ゴシック" w:hAnsi="游ゴシック" w:eastAsia="游ゴシック"/>
                <w:b w:val="0"/>
                <w:i w:val="0"/>
                <w:sz w:val="17"/>
              </w:rPr>
              <w:t>42人</w:t>
            </w:r>
          </w:p>
        </w:tc>
        <w:tc>
          <w:tcPr>
            <w:tcW w:type="dxa" w:w="964"/>
            <w:vAlign w:val="center"/>
          </w:tcPr>
          <w:p>
            <w:pPr>
              <w:keepNext/>
              <w:spacing w:before="20" w:after="20"/>
              <w:jc w:val="right"/>
            </w:pPr>
            <w:r>
              <w:rPr>
                <w:rFonts w:ascii="游ゴシック" w:hAnsi="游ゴシック" w:eastAsia="游ゴシック"/>
                <w:b w:val="0"/>
                <w:i w:val="0"/>
                <w:sz w:val="17"/>
              </w:rPr>
              <w:t>40人</w:t>
            </w:r>
          </w:p>
        </w:tc>
        <w:tc>
          <w:tcPr>
            <w:tcW w:type="dxa" w:w="964"/>
            <w:vAlign w:val="center"/>
          </w:tcPr>
          <w:p>
            <w:pPr>
              <w:keepNext/>
              <w:spacing w:before="20" w:after="20"/>
              <w:jc w:val="right"/>
            </w:pPr>
            <w:r>
              <w:rPr>
                <w:rFonts w:ascii="游ゴシック" w:hAnsi="游ゴシック" w:eastAsia="游ゴシック"/>
                <w:b w:val="0"/>
                <w:i w:val="0"/>
                <w:sz w:val="17"/>
              </w:rPr>
              <w:t>44人</w:t>
            </w:r>
          </w:p>
        </w:tc>
        <w:tc>
          <w:tcPr>
            <w:tcW w:type="dxa" w:w="964"/>
            <w:vAlign w:val="center"/>
          </w:tcPr>
          <w:p>
            <w:pPr>
              <w:keepNext/>
              <w:spacing w:before="20" w:after="20"/>
              <w:jc w:val="right"/>
            </w:pPr>
            <w:r>
              <w:rPr>
                <w:rFonts w:ascii="游ゴシック" w:hAnsi="游ゴシック" w:eastAsia="游ゴシック"/>
                <w:b w:val="0"/>
                <w:i w:val="0"/>
                <w:sz w:val="17"/>
              </w:rPr>
              <w:t>45人</w:t>
            </w:r>
          </w:p>
        </w:tc>
        <w:tc>
          <w:tcPr>
            <w:tcW w:type="dxa" w:w="964"/>
            <w:vAlign w:val="center"/>
          </w:tcPr>
          <w:p>
            <w:pPr>
              <w:keepNext/>
              <w:spacing w:before="20" w:after="20"/>
              <w:jc w:val="right"/>
            </w:pPr>
            <w:r>
              <w:rPr>
                <w:rFonts w:ascii="游ゴシック" w:hAnsi="游ゴシック" w:eastAsia="游ゴシック"/>
                <w:b w:val="0"/>
                <w:i w:val="0"/>
                <w:sz w:val="17"/>
              </w:rPr>
              <w:t>47人</w:t>
            </w:r>
          </w:p>
        </w:tc>
        <w:tc>
          <w:tcPr>
            <w:tcW w:type="dxa" w:w="964"/>
            <w:vAlign w:val="center"/>
          </w:tcPr>
          <w:p>
            <w:pPr>
              <w:keepNext/>
              <w:spacing w:before="20" w:after="20"/>
              <w:jc w:val="right"/>
            </w:pPr>
            <w:r>
              <w:rPr>
                <w:rFonts w:ascii="游ゴシック" w:hAnsi="游ゴシック" w:eastAsia="游ゴシック"/>
                <w:b w:val="0"/>
                <w:i w:val="0"/>
                <w:sz w:val="17"/>
              </w:rPr>
              <w:t>62人</w:t>
            </w:r>
          </w:p>
        </w:tc>
        <w:tc>
          <w:tcPr>
            <w:tcW w:type="dxa" w:w="964"/>
            <w:vAlign w:val="center"/>
          </w:tcPr>
          <w:p>
            <w:pPr>
              <w:keepNext/>
              <w:spacing w:before="20" w:after="20"/>
              <w:jc w:val="right"/>
            </w:pPr>
            <w:r>
              <w:rPr>
                <w:rFonts w:ascii="游ゴシック" w:hAnsi="游ゴシック" w:eastAsia="游ゴシック"/>
                <w:b w:val="0"/>
                <w:i w:val="0"/>
                <w:sz w:val="17"/>
              </w:rPr>
              <w:t>60人</w:t>
            </w:r>
          </w:p>
        </w:tc>
      </w:tr>
      <w:tr>
        <w:tc>
          <w:tcPr>
            <w:tcW w:type="dxa" w:w="2041"/>
            <w:vAlign w:val="center"/>
          </w:tcPr>
          <w:p>
            <w:pPr>
              <w:spacing w:before="20" w:after="20"/>
            </w:pPr>
            <w:r>
              <w:rPr>
                <w:rFonts w:ascii="游ゴシック" w:hAnsi="游ゴシック" w:eastAsia="游ゴシック"/>
                <w:b/>
                <w:i w:val="0"/>
                <w:sz w:val="17"/>
              </w:rPr>
              <w:t>合計</w:t>
            </w:r>
          </w:p>
        </w:tc>
        <w:tc>
          <w:tcPr>
            <w:tcW w:type="dxa" w:w="964"/>
            <w:vAlign w:val="center"/>
          </w:tcPr>
          <w:p>
            <w:pPr>
              <w:spacing w:before="20" w:after="20"/>
              <w:jc w:val="right"/>
            </w:pPr>
            <w:r>
              <w:rPr>
                <w:rFonts w:ascii="游ゴシック" w:hAnsi="游ゴシック" w:eastAsia="游ゴシック"/>
                <w:b/>
                <w:i w:val="0"/>
                <w:sz w:val="17"/>
              </w:rPr>
              <w:t>578人</w:t>
            </w:r>
          </w:p>
        </w:tc>
        <w:tc>
          <w:tcPr>
            <w:tcW w:type="dxa" w:w="964"/>
            <w:vAlign w:val="center"/>
          </w:tcPr>
          <w:p>
            <w:pPr>
              <w:spacing w:before="20" w:after="20"/>
              <w:jc w:val="right"/>
            </w:pPr>
            <w:r>
              <w:rPr>
                <w:rFonts w:ascii="游ゴシック" w:hAnsi="游ゴシック" w:eastAsia="游ゴシック"/>
                <w:b/>
                <w:i w:val="0"/>
                <w:sz w:val="17"/>
              </w:rPr>
              <w:t>570人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539人</w:t>
            </w:r>
          </w:p>
        </w:tc>
        <w:tc>
          <w:tcPr>
            <w:tcW w:type="dxa" w:w="964"/>
            <w:vAlign w:val="center"/>
          </w:tcPr>
          <w:p>
            <w:pPr>
              <w:spacing w:before="20" w:after="20"/>
              <w:jc w:val="right"/>
            </w:pPr>
            <w:r>
              <w:rPr>
                <w:rFonts w:ascii="游ゴシック" w:hAnsi="游ゴシック" w:eastAsia="游ゴシック"/>
                <w:b/>
                <w:i w:val="0"/>
                <w:sz w:val="17"/>
              </w:rPr>
              <w:t>530人</w:t>
            </w:r>
          </w:p>
        </w:tc>
        <w:tc>
          <w:tcPr>
            <w:tcW w:type="dxa" w:w="964"/>
            <w:vAlign w:val="center"/>
          </w:tcPr>
          <w:p>
            <w:pPr>
              <w:spacing w:before="20" w:after="20"/>
              <w:jc w:val="right"/>
            </w:pPr>
            <w:r>
              <w:rPr>
                <w:rFonts w:ascii="游ゴシック" w:hAnsi="游ゴシック" w:eastAsia="游ゴシック"/>
                <w:b/>
                <w:i w:val="0"/>
                <w:sz w:val="17"/>
              </w:rPr>
              <w:t>508人</w:t>
            </w:r>
          </w:p>
        </w:tc>
        <w:tc>
          <w:tcPr>
            <w:tcW w:type="dxa" w:w="964"/>
            <w:vAlign w:val="center"/>
          </w:tcPr>
          <w:p>
            <w:pPr>
              <w:spacing w:before="20" w:after="20"/>
              <w:jc w:val="right"/>
            </w:pPr>
            <w:r>
              <w:rPr>
                <w:rFonts w:ascii="游ゴシック" w:hAnsi="游ゴシック" w:eastAsia="游ゴシック"/>
                <w:b/>
                <w:i w:val="0"/>
                <w:sz w:val="17"/>
              </w:rPr>
              <w:t>495人</w:t>
            </w:r>
          </w:p>
        </w:tc>
      </w:tr>
    </w:tbl>
    <w:p>
      <w:pPr>
        <w:spacing w:after="40"/>
      </w:pPr>
    </w:p>
    <w:p>
      <w:pPr>
        <w:keepNext/>
        <w:spacing w:before="200" w:after="40"/>
      </w:pPr>
      <w:r>
        <w:rPr>
          <w:rFonts w:ascii="游ゴシック" w:hAnsi="游ゴシック" w:eastAsia="游ゴシック"/>
          <w:b/>
          <w:i w:val="0"/>
          <w:color w:val="1F4D78"/>
          <w:sz w:val="22"/>
        </w:rPr>
        <w:t>【図1】第1部第2章2　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資料：令和元年〜令和5年はおのまち障がい者基本計画（令和6年3月）、令和6年・令和8年は町の見込量・目標値設定シート、令和7年は町からの受領値（各年4月1日現在・健康福祉課）</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、令和6年・令和8年は町の見込量・目標値設定シート（令和8年9月）、令和7年は町からの受領値。いずれも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 設定シートは基準日を記載していません。令和5年・令和7年の値が上の出典と一致するため、同じ4月1日現在とみなしています（【町データ待ち】）。</w:t>
      </w:r>
    </w:p>
    <w:p>
      <w:pPr>
        <w:spacing w:after="120"/>
      </w:pPr>
    </w:p>
    <w:p>
      <w:pPr>
        <w:spacing w:before="60" w:after="60"/>
      </w:pPr>
      <w:r>
        <w:rPr>
          <w:rFonts w:ascii="游ゴシック" w:hAnsi="游ゴシック" w:eastAsia="游ゴシック"/>
          <w:b/>
          <w:i w:val="0"/>
          <w:sz w:val="21"/>
        </w:rPr>
        <w:t>全体では、令和元年の578人から令和8年の495人へ、7年間で83人（14.4％）減っています。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身体障害者手帳は452人から363人へ89人（19.7％）減り、全体の減少（83人）を上回ります。</w:t>
      </w:r>
      <w:r>
        <w:rPr>
          <w:rFonts w:ascii="游ゴシック" w:hAnsi="游ゴシック" w:eastAsia="游ゴシック"/>
          <w:b w:val="0"/>
          <w:i w:val="0"/>
          <w:sz w:val="21"/>
        </w:rPr>
        <w:t>療育手帳は77人から72人へ、おおむね横ばいです（令和4・5年の82人をピークに減っています）。</w:t>
      </w:r>
      <w:r>
        <w:rPr>
          <w:rFonts w:ascii="游ゴシック" w:hAnsi="游ゴシック" w:eastAsia="游ゴシック"/>
          <w:b/>
          <w:i w:val="0"/>
          <w:sz w:val="21"/>
        </w:rPr>
        <w:t>一方、精神障害者保健福祉手帳は49人から60人へ11人（22.4％）増えています。</w:t>
      </w:r>
      <w:r>
        <w:rPr>
          <w:rFonts w:ascii="游ゴシック" w:hAnsi="游ゴシック" w:eastAsia="游ゴシック"/>
          <w:b w:val="0"/>
          <w:i w:val="0"/>
          <w:sz w:val="21"/>
        </w:rPr>
        <w:t>とくに令和5年の45人から令和7年の62人への増え方（37.8％）が大きく、令和8年も60人と、その水準を保っています。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spacing w:before="60" w:after="60"/>
      </w:pPr>
      <w:r>
        <w:rPr>
          <w:rFonts w:ascii="游ゴシック" w:hAnsi="游ゴシック" w:eastAsia="游ゴシック"/>
          <w:b/>
          <w:i w:val="0"/>
          <w:sz w:val="21"/>
        </w:rPr>
        <w:t>（将来の見通し）</w:t>
      </w:r>
    </w:p>
    <w:p>
      <w:pPr>
        <w:spacing w:before="60" w:after="60"/>
      </w:pPr>
      <w:r>
        <w:rPr>
          <w:rFonts w:ascii="游ゴシック" w:hAnsi="游ゴシック" w:eastAsia="游ゴシック"/>
          <w:b w:val="0"/>
          <w:i w:val="0"/>
          <w:sz w:val="21"/>
        </w:rPr>
        <w:t>計画期間（令和9〜11年）の手帳所持者数を、総人口に対する所持率を用いて</w:t>
      </w:r>
      <w:r>
        <w:rPr>
          <w:rFonts w:ascii="游ゴシック" w:hAnsi="游ゴシック" w:eastAsia="游ゴシック"/>
          <w:b/>
          <w:i w:val="0"/>
          <w:sz w:val="21"/>
        </w:rPr>
        <w:t>2つの方法で推計し、幅で示します。</w:t>
      </w:r>
      <w:r>
        <w:rPr>
          <w:rFonts w:ascii="游ゴシック" w:hAnsi="游ゴシック" w:eastAsia="游ゴシック"/>
          <w:b w:val="0"/>
          <w:i w:val="0"/>
          <w:sz w:val="21"/>
        </w:rPr>
        <w:t>Aは令和8年の所持率を据え置く方法、Bは令和5〜8年の所持率の傾向をそのまま延ばす方法です。総人口は設定シートの町の推計（令和11年 7,830人）によります。</w:t>
      </w:r>
    </w:p>
    <w:p>
      <w:pPr>
        <w:keepNext/>
        <w:spacing w:before="200" w:after="40"/>
      </w:pPr>
      <w:r>
        <w:rPr>
          <w:rFonts w:ascii="游ゴシック" w:hAnsi="游ゴシック" w:eastAsia="游ゴシック"/>
          <w:b/>
          <w:i w:val="0"/>
          <w:color w:val="1F4D78"/>
          <w:sz w:val="22"/>
        </w:rPr>
        <w:t>【表11】第1部第2章　障がいのある人を取り巻く状況（2）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361"/>
        <w:gridCol w:w="1474"/>
        <w:gridCol w:w="1474"/>
        <w:gridCol w:w="1474"/>
        <w:gridCol w:w="147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令和8年（実績）</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令和9年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令和10年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令和11年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町の見込（令和11年）</w:t>
            </w:r>
          </w:p>
        </w:tc>
      </w:tr>
      <w:tr>
        <w:tc>
          <w:tcPr>
            <w:tcW w:type="dxa" w:w="2494"/>
            <w:vAlign w:val="center"/>
          </w:tcPr>
          <w:p>
            <w:pPr>
              <w:spacing w:before="20" w:after="20"/>
            </w:pPr>
            <w:r>
              <w:rPr>
                <w:rFonts w:ascii="游ゴシック" w:hAnsi="游ゴシック" w:eastAsia="游ゴシック"/>
                <w:b w:val="0"/>
                <w:i w:val="0"/>
                <w:sz w:val="17"/>
              </w:rPr>
              <w:t>身体障害者手帳</w:t>
            </w:r>
          </w:p>
        </w:tc>
        <w:tc>
          <w:tcPr>
            <w:tcW w:type="dxa" w:w="1361"/>
            <w:vAlign w:val="center"/>
          </w:tcPr>
          <w:p>
            <w:pPr>
              <w:spacing w:before="20" w:after="20"/>
              <w:jc w:val="right"/>
            </w:pPr>
            <w:r>
              <w:rPr>
                <w:rFonts w:ascii="游ゴシック" w:hAnsi="游ゴシック" w:eastAsia="游ゴシック"/>
                <w:b w:val="0"/>
                <w:i w:val="0"/>
                <w:sz w:val="17"/>
              </w:rPr>
              <w:t>363人</w:t>
            </w:r>
          </w:p>
        </w:tc>
        <w:tc>
          <w:tcPr>
            <w:tcW w:type="dxa" w:w="1474"/>
            <w:vAlign w:val="center"/>
          </w:tcPr>
          <w:p>
            <w:pPr>
              <w:spacing w:before="20" w:after="20"/>
              <w:jc w:val="right"/>
            </w:pPr>
            <w:r>
              <w:rPr>
                <w:rFonts w:ascii="游ゴシック" w:hAnsi="游ゴシック" w:eastAsia="游ゴシック"/>
                <w:b w:val="0"/>
                <w:i w:val="0"/>
                <w:sz w:val="17"/>
              </w:rPr>
              <w:t>348〜353人</w:t>
            </w:r>
          </w:p>
        </w:tc>
        <w:tc>
          <w:tcPr>
            <w:tcW w:type="dxa" w:w="1474"/>
            <w:vAlign w:val="center"/>
          </w:tcPr>
          <w:p>
            <w:pPr>
              <w:spacing w:before="20" w:after="20"/>
              <w:jc w:val="right"/>
            </w:pPr>
            <w:r>
              <w:rPr>
                <w:rFonts w:ascii="游ゴシック" w:hAnsi="游ゴシック" w:eastAsia="游ゴシック"/>
                <w:b w:val="0"/>
                <w:i w:val="0"/>
                <w:sz w:val="17"/>
              </w:rPr>
              <w:t>334〜344人</w:t>
            </w:r>
          </w:p>
        </w:tc>
        <w:tc>
          <w:tcPr>
            <w:tcW w:type="dxa" w:w="1474"/>
            <w:vAlign w:val="center"/>
          </w:tcPr>
          <w:p>
            <w:pPr>
              <w:spacing w:before="20" w:after="20"/>
              <w:jc w:val="right"/>
            </w:pPr>
            <w:r>
              <w:rPr>
                <w:rFonts w:ascii="游ゴシック" w:hAnsi="游ゴシック" w:eastAsia="游ゴシック"/>
                <w:b w:val="0"/>
                <w:i w:val="0"/>
                <w:sz w:val="17"/>
              </w:rPr>
              <w:t>319〜334人</w:t>
            </w:r>
          </w:p>
        </w:tc>
        <w:tc>
          <w:tcPr>
            <w:tcW w:type="dxa" w:w="1474"/>
            <w:vAlign w:val="center"/>
          </w:tcPr>
          <w:p>
            <w:pPr>
              <w:spacing w:before="20" w:after="20"/>
              <w:jc w:val="right"/>
            </w:pPr>
            <w:r>
              <w:rPr>
                <w:rFonts w:ascii="游ゴシック" w:hAnsi="游ゴシック" w:eastAsia="游ゴシック"/>
                <w:b w:val="0"/>
                <w:i w:val="0"/>
                <w:sz w:val="17"/>
              </w:rPr>
              <w:t>333人</w:t>
            </w:r>
          </w:p>
        </w:tc>
      </w:tr>
      <w:tr>
        <w:tc>
          <w:tcPr>
            <w:tcW w:type="dxa" w:w="2494"/>
            <w:vAlign w:val="center"/>
          </w:tcPr>
          <w:p>
            <w:pPr>
              <w:keepNext/>
              <w:spacing w:before="20" w:after="20"/>
            </w:pPr>
            <w:r>
              <w:rPr>
                <w:rFonts w:ascii="游ゴシック" w:hAnsi="游ゴシック" w:eastAsia="游ゴシック"/>
                <w:b w:val="0"/>
                <w:i w:val="0"/>
                <w:sz w:val="17"/>
              </w:rPr>
              <w:t>療育手帳</w:t>
            </w:r>
          </w:p>
        </w:tc>
        <w:tc>
          <w:tcPr>
            <w:tcW w:type="dxa" w:w="1361"/>
            <w:vAlign w:val="center"/>
          </w:tcPr>
          <w:p>
            <w:pPr>
              <w:keepNext/>
              <w:spacing w:before="20" w:after="20"/>
              <w:jc w:val="right"/>
            </w:pPr>
            <w:r>
              <w:rPr>
                <w:rFonts w:ascii="游ゴシック" w:hAnsi="游ゴシック" w:eastAsia="游ゴシック"/>
                <w:b w:val="0"/>
                <w:i w:val="0"/>
                <w:sz w:val="17"/>
              </w:rPr>
              <w:t>72人</w:t>
            </w:r>
          </w:p>
        </w:tc>
        <w:tc>
          <w:tcPr>
            <w:tcW w:type="dxa" w:w="1474"/>
            <w:vAlign w:val="center"/>
          </w:tcPr>
          <w:p>
            <w:pPr>
              <w:keepNext/>
              <w:spacing w:before="20" w:after="20"/>
              <w:jc w:val="right"/>
            </w:pPr>
            <w:r>
              <w:rPr>
                <w:rFonts w:ascii="游ゴシック" w:hAnsi="游ゴシック" w:eastAsia="游ゴシック"/>
                <w:b w:val="0"/>
                <w:i w:val="0"/>
                <w:sz w:val="17"/>
              </w:rPr>
              <w:t>69〜70人</w:t>
            </w:r>
          </w:p>
        </w:tc>
        <w:tc>
          <w:tcPr>
            <w:tcW w:type="dxa" w:w="1474"/>
            <w:vAlign w:val="center"/>
          </w:tcPr>
          <w:p>
            <w:pPr>
              <w:keepNext/>
              <w:spacing w:before="20" w:after="20"/>
              <w:jc w:val="right"/>
            </w:pPr>
            <w:r>
              <w:rPr>
                <w:rFonts w:ascii="游ゴシック" w:hAnsi="游ゴシック" w:eastAsia="游ゴシック"/>
                <w:b w:val="0"/>
                <w:i w:val="0"/>
                <w:sz w:val="17"/>
              </w:rPr>
              <w:t>67〜68人</w:t>
            </w:r>
          </w:p>
        </w:tc>
        <w:tc>
          <w:tcPr>
            <w:tcW w:type="dxa" w:w="1474"/>
            <w:vAlign w:val="center"/>
          </w:tcPr>
          <w:p>
            <w:pPr>
              <w:keepNext/>
              <w:spacing w:before="20" w:after="20"/>
              <w:jc w:val="right"/>
            </w:pPr>
            <w:r>
              <w:rPr>
                <w:rFonts w:ascii="游ゴシック" w:hAnsi="游ゴシック" w:eastAsia="游ゴシック"/>
                <w:b w:val="0"/>
                <w:i w:val="0"/>
                <w:sz w:val="17"/>
              </w:rPr>
              <w:t>64〜66人</w:t>
            </w:r>
          </w:p>
        </w:tc>
        <w:tc>
          <w:tcPr>
            <w:tcW w:type="dxa" w:w="1474"/>
            <w:vAlign w:val="center"/>
          </w:tcPr>
          <w:p>
            <w:pPr>
              <w:keepNext/>
              <w:spacing w:before="20" w:after="20"/>
              <w:jc w:val="right"/>
            </w:pPr>
            <w:r>
              <w:rPr>
                <w:rFonts w:ascii="游ゴシック" w:hAnsi="游ゴシック" w:eastAsia="游ゴシック"/>
                <w:b w:val="0"/>
                <w:i w:val="0"/>
                <w:sz w:val="17"/>
              </w:rPr>
              <w:t>66人</w:t>
            </w:r>
          </w:p>
        </w:tc>
      </w:tr>
      <w:tr>
        <w:tc>
          <w:tcPr>
            <w:tcW w:type="dxa" w:w="2494"/>
            <w:vAlign w:val="center"/>
          </w:tcPr>
          <w:p>
            <w:pPr>
              <w:spacing w:before="20" w:after="20"/>
            </w:pPr>
            <w:r>
              <w:rPr>
                <w:rFonts w:ascii="游ゴシック" w:hAnsi="游ゴシック" w:eastAsia="游ゴシック"/>
                <w:b w:val="0"/>
                <w:i w:val="0"/>
                <w:sz w:val="17"/>
              </w:rPr>
              <w:t>精神障害者保健福祉手帳</w:t>
            </w:r>
          </w:p>
        </w:tc>
        <w:tc>
          <w:tcPr>
            <w:tcW w:type="dxa" w:w="1361"/>
            <w:vAlign w:val="center"/>
          </w:tcPr>
          <w:p>
            <w:pPr>
              <w:spacing w:before="20" w:after="20"/>
              <w:jc w:val="right"/>
            </w:pPr>
            <w:r>
              <w:rPr>
                <w:rFonts w:ascii="游ゴシック" w:hAnsi="游ゴシック" w:eastAsia="游ゴシック"/>
                <w:b w:val="0"/>
                <w:i w:val="0"/>
                <w:sz w:val="17"/>
              </w:rPr>
              <w:t>60人</w:t>
            </w:r>
          </w:p>
        </w:tc>
        <w:tc>
          <w:tcPr>
            <w:tcW w:type="dxa" w:w="1474"/>
            <w:vAlign w:val="center"/>
          </w:tcPr>
          <w:p>
            <w:pPr>
              <w:spacing w:before="20" w:after="20"/>
              <w:jc w:val="right"/>
            </w:pPr>
            <w:r>
              <w:rPr>
                <w:rFonts w:ascii="游ゴシック" w:hAnsi="游ゴシック" w:eastAsia="游ゴシック"/>
                <w:b w:val="0"/>
                <w:i w:val="0"/>
                <w:sz w:val="17"/>
              </w:rPr>
              <w:t>58〜66人</w:t>
            </w:r>
          </w:p>
        </w:tc>
        <w:tc>
          <w:tcPr>
            <w:tcW w:type="dxa" w:w="1474"/>
            <w:vAlign w:val="center"/>
          </w:tcPr>
          <w:p>
            <w:pPr>
              <w:spacing w:before="20" w:after="20"/>
              <w:jc w:val="right"/>
            </w:pPr>
            <w:r>
              <w:rPr>
                <w:rFonts w:ascii="游ゴシック" w:hAnsi="游ゴシック" w:eastAsia="游ゴシック"/>
                <w:b w:val="0"/>
                <w:i w:val="0"/>
                <w:sz w:val="17"/>
              </w:rPr>
              <w:t>57〜71人</w:t>
            </w:r>
          </w:p>
        </w:tc>
        <w:tc>
          <w:tcPr>
            <w:tcW w:type="dxa" w:w="1474"/>
            <w:vAlign w:val="center"/>
          </w:tcPr>
          <w:p>
            <w:pPr>
              <w:spacing w:before="20" w:after="20"/>
              <w:jc w:val="right"/>
            </w:pPr>
            <w:r>
              <w:rPr>
                <w:rFonts w:ascii="游ゴシック" w:hAnsi="游ゴシック" w:eastAsia="游ゴシック"/>
                <w:b w:val="0"/>
                <w:i w:val="0"/>
                <w:sz w:val="17"/>
              </w:rPr>
              <w:t>55〜75人</w:t>
            </w:r>
          </w:p>
        </w:tc>
        <w:tc>
          <w:tcPr>
            <w:tcW w:type="dxa" w:w="1474"/>
            <w:vAlign w:val="center"/>
          </w:tcPr>
          <w:p>
            <w:pPr>
              <w:spacing w:before="20" w:after="20"/>
              <w:jc w:val="right"/>
            </w:pPr>
            <w:r>
              <w:rPr>
                <w:rFonts w:ascii="游ゴシック" w:hAnsi="游ゴシック" w:eastAsia="游ゴシック"/>
                <w:b w:val="0"/>
                <w:i w:val="0"/>
                <w:sz w:val="17"/>
              </w:rPr>
              <w:t>56人</w:t>
            </w:r>
          </w:p>
        </w:tc>
      </w:tr>
    </w:tbl>
    <w:p>
      <w:pPr>
        <w:spacing w:after="40"/>
      </w:pPr>
    </w:p>
    <w:p>
      <w:pPr>
        <w:spacing w:before="40" w:after="160"/>
        <w:ind w:left="113"/>
      </w:pPr>
      <w:r>
        <w:rPr>
          <w:rFonts w:ascii="游ゴシック" w:hAnsi="游ゴシック" w:eastAsia="游ゴシック"/>
          <w:b w:val="0"/>
          <w:i w:val="0"/>
          <w:sz w:val="17"/>
        </w:rPr>
        <w:t>資料：町の見込量・目標値設定シート（令和8年9月）の手帳所持者数と総人口から推計。幅はA（所持率の据置）とB（所持率の傾向）の小さい方〜大きい方。年齢別の所持者数を受領していないため、年齢構成の変化は入れていません（【町データ待ち】）。</w:t>
      </w:r>
    </w:p>
    <w:p>
      <w:pPr>
        <w:spacing w:after="120"/>
      </w:pPr>
    </w:p>
    <w:p>
      <w:pPr>
        <w:spacing w:before="60" w:after="60"/>
      </w:pPr>
      <w:r>
        <w:rPr>
          <w:rFonts w:ascii="游ゴシック" w:hAnsi="游ゴシック" w:eastAsia="游ゴシック"/>
          <w:b/>
          <w:i w:val="0"/>
          <w:sz w:val="21"/>
        </w:rPr>
        <w:t>身体障害者手帳と療育手帳は、どちらの方法でも減る見通しです</w:t>
      </w:r>
      <w:r>
        <w:rPr>
          <w:rFonts w:ascii="游ゴシック" w:hAnsi="游ゴシック" w:eastAsia="游ゴシック"/>
          <w:b w:val="0"/>
          <w:i w:val="0"/>
          <w:sz w:val="21"/>
        </w:rPr>
        <w:t>（令和11年 身体319〜334人、療育64〜66人）。</w:t>
      </w:r>
    </w:p>
    <w:p>
      <w:pPr>
        <w:spacing w:before="60" w:after="60"/>
      </w:pPr>
      <w:r>
        <w:rPr>
          <w:rFonts w:ascii="游ゴシック" w:hAnsi="游ゴシック" w:eastAsia="游ゴシック"/>
          <w:b/>
          <w:i w:val="0"/>
          <w:sz w:val="21"/>
        </w:rPr>
        <w:t>精神障害者保健福祉手帳は、方法によって向きが分かれます。</w:t>
      </w:r>
      <w:r>
        <w:rPr>
          <w:rFonts w:ascii="游ゴシック" w:hAnsi="游ゴシック" w:eastAsia="游ゴシック"/>
          <w:b w:val="0"/>
          <w:i w:val="0"/>
          <w:sz w:val="21"/>
        </w:rPr>
        <w:t>所持率を据え置くと55人に減り、傾向を延ばすと75人に増えます。設定シートの町の見込（56人）は、据え置きに近い置き方です。</w:t>
      </w:r>
      <w:r>
        <w:rPr>
          <w:rFonts w:ascii="游ゴシック" w:hAnsi="游ゴシック" w:eastAsia="游ゴシック"/>
          <w:b/>
          <w:i w:val="0"/>
          <w:sz w:val="21"/>
        </w:rPr>
        <w:t>令和5年の45人から令和8年の60人へ、3年で33％増えているため、精神障がいにも対応した地域包括ケアシステムと相談支援の見込量は、傾向を延ばした値（B）を上限として確保の方策を考えます。</w:t>
      </w:r>
      <w:r>
        <w:rPr>
          <w:rFonts w:ascii="游ゴシック" w:hAnsi="游ゴシック" w:eastAsia="游ゴシック"/>
          <w:b w:val="0"/>
          <w:i w:val="0"/>
          <w:sz w:val="21"/>
        </w:rPr>
        <w:t>見込量に用いる値は小野町自立支援協議会にお諮りします（【協議会で設定】）。</w:t>
      </w:r>
    </w:p>
    <w:p>
      <w:pPr>
        <w:spacing w:before="40" w:after="160"/>
        <w:ind w:left="113"/>
      </w:pPr>
      <w:r>
        <w:rPr>
          <w:rFonts w:ascii="游ゴシック" w:hAnsi="游ゴシック" w:eastAsia="游ゴシック"/>
          <w:b w:val="0"/>
          <w:i w:val="0"/>
          <w:sz w:val="17"/>
        </w:rPr>
        <w:t>※ 高齢者保健福祉計画・第10期介護保険事業計画は第10期将来推計用推計人口を用いており、令和11年の総人口は8,232人で、設定シート（7,830人）と402人異なります（第1部第2章1）。高齢者計画の人口の伸びを用いると、Aの令和11年は身体341人・療育68人・精神56人です。</w:t>
      </w:r>
      <w:r>
        <w:rPr>
          <w:rFonts w:ascii="游ゴシック" w:hAnsi="游ゴシック" w:eastAsia="游ゴシック"/>
          <w:b/>
          <w:i w:val="0"/>
          <w:sz w:val="17"/>
        </w:rPr>
        <w:t>どちらの人口にそろえるかは、町と決めます（【決定後に記載】）。</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障害支援区分の状況</w:t>
      </w:r>
    </w:p>
    <w:p>
      <w:pPr>
        <w:spacing w:before="60" w:after="60"/>
      </w:pPr>
      <w:r>
        <w:rPr>
          <w:rFonts w:ascii="游ゴシック" w:hAnsi="游ゴシック" w:eastAsia="游ゴシック"/>
          <w:b w:val="0"/>
          <w:i w:val="0"/>
          <w:sz w:val="21"/>
        </w:rPr>
        <w:t>障害支援区分の認定者数（区分別）は【町データ待ち】です。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障害福祉サービスの利用状況</w:t>
      </w:r>
    </w:p>
    <w:p>
      <w:pPr>
        <w:spacing w:before="60" w:after="60"/>
      </w:pPr>
      <w:r>
        <w:rPr>
          <w:rFonts w:ascii="游ゴシック" w:hAnsi="游ゴシック" w:eastAsia="游ゴシック"/>
          <w:b w:val="0"/>
          <w:i w:val="0"/>
          <w:sz w:val="21"/>
        </w:rPr>
        <w:t>サービス種類別の支給決定量・実利用量、町内外の事業所別の利用状況、セルフプラン件数は【町データ待ち】です。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医療的ケア児等については、18歳以上の医療的ケア児等・重症心身障害者を含めて把握します。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val="0"/>
          <w:i w:val="0"/>
          <w:sz w:val="21"/>
        </w:rPr>
        <w:t>今期（令和8年度）のアンケート調査の結果は【町データ待ち】です。単純集計・クロス集計・自由回答の概要を掲載します。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i w:val="0"/>
          <w:sz w:val="17"/>
        </w:rPr>
        <w:t>※ 現行計画の目標値には、成り立たない区分があります。</w:t>
      </w:r>
      <w:r>
        <w:rPr>
          <w:rFonts w:ascii="游ゴシック" w:hAnsi="游ゴシック" w:eastAsia="游ゴシック"/>
          <w:b w:val="0"/>
          <w:i w:val="0"/>
          <w:sz w:val="17"/>
        </w:rPr>
        <w:t>扱いを定めたうえで評価します（『小野町_障がい計画_前回からの追加と計画素案の構成』第3章）。</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【表12】第1部第3章　現行計画の評価と課題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w:t>
      </w:r>
      <w:r>
        <w:rPr>
          <w:rFonts w:ascii="游ゴシック" w:hAnsi="游ゴシック" w:eastAsia="游ゴシック"/>
          <w:b/>
          <w:i w:val="0"/>
          <w:sz w:val="17"/>
        </w:rPr>
        <w:t>本表は同計画の PDF を機械で読み取ったもの</w:t>
      </w:r>
      <w:r>
        <w:rPr>
          <w:rFonts w:ascii="游ゴシック" w:hAnsi="游ゴシック" w:eastAsia="游ゴシック"/>
          <w:b w:val="0"/>
          <w:i w:val="0"/>
          <w:sz w:val="17"/>
        </w:rPr>
        <w:t>で、書き写していません（`ono_shogai_zenkai.py`）。「見込量→実績」の形で示し、括弧内は見込量に対する実績の割合です。令和5年度は実績見込。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spacing w:before="60" w:after="60"/>
      </w:pPr>
      <w:r>
        <w:rPr>
          <w:rFonts w:ascii="游ゴシック" w:hAnsi="游ゴシック" w:eastAsia="游ゴシック"/>
          <w:b/>
          <w:i w:val="0"/>
          <w:sz w:val="21"/>
        </w:rPr>
        <w:t>前回計画の短期入所の見込量については、引き継ぐ前に確かめるべき点があります。</w:t>
      </w:r>
    </w:p>
    <w:p>
      <w:pPr>
        <w:keepNext/>
        <w:spacing w:before="200" w:after="40"/>
      </w:pPr>
      <w:r>
        <w:rPr>
          <w:rFonts w:ascii="游ゴシック" w:hAnsi="游ゴシック" w:eastAsia="游ゴシック"/>
          <w:b/>
          <w:i w:val="0"/>
          <w:color w:val="1F4D78"/>
          <w:sz w:val="22"/>
        </w:rPr>
        <w:t>【表13】第1部第3章　現行計画の評価と課題（2）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969"/>
        <w:gridCol w:w="328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494"/>
            <w:vAlign w:val="center"/>
          </w:tcPr>
          <w:p>
            <w:pPr>
              <w:keepNext/>
              <w:spacing w:before="20" w:after="20"/>
            </w:pPr>
            <w:r>
              <w:rPr>
                <w:rFonts w:ascii="游ゴシック" w:hAnsi="游ゴシック" w:eastAsia="游ゴシック"/>
                <w:b/>
                <w:i w:val="0"/>
                <w:sz w:val="17"/>
              </w:rPr>
              <w:t>短期入所（福祉型）</w:t>
            </w:r>
          </w:p>
        </w:tc>
        <w:tc>
          <w:tcPr>
            <w:tcW w:type="dxa" w:w="3969"/>
            <w:vAlign w:val="center"/>
          </w:tcPr>
          <w:p>
            <w:pPr>
              <w:keepNext/>
              <w:spacing w:before="20" w:after="20"/>
            </w:pPr>
            <w:r>
              <w:rPr>
                <w:rFonts w:ascii="游ゴシック" w:hAnsi="游ゴシック" w:eastAsia="游ゴシック"/>
                <w:b/>
                <w:i w:val="0"/>
                <w:sz w:val="17"/>
              </w:rPr>
              <w:t>2〜3人／14〜21人日</w:t>
            </w:r>
            <w:r>
              <w:rPr>
                <w:rFonts w:ascii="游ゴシック" w:hAnsi="游ゴシック" w:eastAsia="游ゴシック"/>
                <w:b w:val="0"/>
                <w:i w:val="0"/>
                <w:sz w:val="17"/>
              </w:rPr>
              <w:t>（実績あり）</w:t>
            </w:r>
          </w:p>
        </w:tc>
        <w:tc>
          <w:tcPr>
            <w:tcW w:type="dxa" w:w="3288"/>
            <w:vAlign w:val="center"/>
          </w:tcPr>
          <w:p>
            <w:pPr>
              <w:keepNext/>
              <w:spacing w:before="20" w:after="20"/>
            </w:pPr>
            <w:r>
              <w:rPr>
                <w:rFonts w:ascii="游ゴシック" w:hAnsi="游ゴシック" w:eastAsia="游ゴシック"/>
                <w:b/>
                <w:i w:val="0"/>
                <w:sz w:val="17"/>
              </w:rPr>
              <w:t>0人／0人日</w:t>
            </w:r>
          </w:p>
        </w:tc>
      </w:tr>
      <w:tr>
        <w:tc>
          <w:tcPr>
            <w:tcW w:type="dxa" w:w="2494"/>
            <w:vAlign w:val="center"/>
          </w:tcPr>
          <w:p>
            <w:pPr>
              <w:spacing w:before="20" w:after="20"/>
            </w:pPr>
            <w:r>
              <w:rPr>
                <w:rFonts w:ascii="游ゴシック" w:hAnsi="游ゴシック" w:eastAsia="游ゴシック"/>
                <w:b/>
                <w:i w:val="0"/>
                <w:sz w:val="17"/>
              </w:rPr>
              <w:t>短期入所（医療型）</w:t>
            </w:r>
          </w:p>
        </w:tc>
        <w:tc>
          <w:tcPr>
            <w:tcW w:type="dxa" w:w="3969"/>
            <w:vAlign w:val="center"/>
          </w:tcPr>
          <w:p>
            <w:pPr>
              <w:spacing w:before="20" w:after="20"/>
            </w:pPr>
            <w:r>
              <w:rPr>
                <w:rFonts w:ascii="游ゴシック" w:hAnsi="游ゴシック" w:eastAsia="游ゴシック"/>
                <w:b/>
                <w:i w:val="0"/>
                <w:sz w:val="17"/>
              </w:rPr>
              <w:t>0人／0人日</w:t>
            </w:r>
            <w:r>
              <w:rPr>
                <w:rFonts w:ascii="游ゴシック" w:hAnsi="游ゴシック" w:eastAsia="游ゴシック"/>
                <w:b w:val="0"/>
                <w:i w:val="0"/>
                <w:sz w:val="17"/>
              </w:rPr>
              <w:t>（全年度0）</w:t>
            </w:r>
          </w:p>
        </w:tc>
        <w:tc>
          <w:tcPr>
            <w:tcW w:type="dxa" w:w="3288"/>
            <w:vAlign w:val="center"/>
          </w:tcPr>
          <w:p>
            <w:pPr>
              <w:spacing w:before="20" w:after="20"/>
            </w:pPr>
            <w:r>
              <w:rPr>
                <w:rFonts w:ascii="游ゴシック" w:hAnsi="游ゴシック" w:eastAsia="游ゴシック"/>
                <w:b/>
                <w:i w:val="0"/>
                <w:sz w:val="17"/>
              </w:rPr>
              <w:t>2人／24人日</w:t>
            </w:r>
          </w:p>
        </w:tc>
      </w:tr>
    </w:tbl>
    <w:p>
      <w:pPr>
        <w:spacing w:after="40"/>
      </w:pPr>
    </w:p>
    <w:p>
      <w:pPr>
        <w:spacing w:after="120"/>
      </w:pPr>
    </w:p>
    <w:p>
      <w:pPr>
        <w:spacing w:before="60" w:after="60"/>
      </w:pPr>
      <w:r>
        <w:rPr>
          <w:rFonts w:ascii="游ゴシック" w:hAnsi="游ゴシック" w:eastAsia="游ゴシック"/>
          <w:b/>
          <w:i w:val="0"/>
          <w:sz w:val="21"/>
        </w:rPr>
        <w:t>障がい児の第7期の見込量についても、同じく確かめる点があります。</w:t>
      </w:r>
    </w:p>
    <w:p>
      <w:pPr>
        <w:keepNext/>
        <w:spacing w:before="200" w:after="40"/>
      </w:pPr>
      <w:r>
        <w:rPr>
          <w:rFonts w:ascii="游ゴシック" w:hAnsi="游ゴシック" w:eastAsia="游ゴシック"/>
          <w:b/>
          <w:i w:val="0"/>
          <w:color w:val="1F4D78"/>
          <w:sz w:val="22"/>
        </w:rPr>
        <w:t>【表14】第1部第3章　現行計画の評価と課題（3）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2268"/>
        <w:gridCol w:w="3175"/>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第6期の実績（令和5年度）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第7期の見込量（前回計画）</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041"/>
            <w:vAlign w:val="center"/>
          </w:tcPr>
          <w:p>
            <w:pPr>
              <w:keepNext/>
              <w:spacing w:before="20" w:after="20"/>
            </w:pPr>
            <w:r>
              <w:rPr>
                <w:rFonts w:ascii="游ゴシック" w:hAnsi="游ゴシック" w:eastAsia="游ゴシック"/>
                <w:b w:val="0"/>
                <w:i w:val="0"/>
                <w:sz w:val="17"/>
              </w:rPr>
              <w:t>児童発達支援</w:t>
            </w:r>
          </w:p>
        </w:tc>
        <w:tc>
          <w:tcPr>
            <w:tcW w:type="dxa" w:w="2268"/>
            <w:vAlign w:val="center"/>
          </w:tcPr>
          <w:p>
            <w:pPr>
              <w:keepNext/>
              <w:spacing w:before="20" w:after="20"/>
            </w:pPr>
            <w:r>
              <w:rPr>
                <w:rFonts w:ascii="游ゴシック" w:hAnsi="游ゴシック" w:eastAsia="游ゴシック"/>
                <w:b w:val="0"/>
                <w:i w:val="0"/>
                <w:sz w:val="17"/>
              </w:rPr>
              <w:t>6人／24人日</w:t>
            </w:r>
          </w:p>
        </w:tc>
        <w:tc>
          <w:tcPr>
            <w:tcW w:type="dxa" w:w="2268"/>
            <w:vAlign w:val="center"/>
          </w:tcPr>
          <w:p>
            <w:pPr>
              <w:keepNext/>
              <w:spacing w:before="20" w:after="20"/>
            </w:pPr>
            <w:r>
              <w:rPr>
                <w:rFonts w:ascii="游ゴシック" w:hAnsi="游ゴシック" w:eastAsia="游ゴシック"/>
                <w:b w:val="0"/>
                <w:i w:val="0"/>
                <w:sz w:val="17"/>
              </w:rPr>
              <w:t>38人／4人日</w:t>
            </w:r>
          </w:p>
        </w:tc>
        <w:tc>
          <w:tcPr>
            <w:tcW w:type="dxa" w:w="3175"/>
            <w:vAlign w:val="center"/>
          </w:tcPr>
          <w:p>
            <w:pPr>
              <w:keepNext/>
              <w:spacing w:before="20" w:after="20"/>
            </w:pPr>
            <w:r>
              <w:rPr>
                <w:rFonts w:ascii="游ゴシック" w:hAnsi="游ゴシック" w:eastAsia="游ゴシック"/>
                <w:b w:val="0"/>
                <w:i w:val="0"/>
                <w:sz w:val="17"/>
              </w:rPr>
              <w:t>「38 人・4 人日」。第6期の実績は6人・24〜28人日。</w:t>
            </w:r>
            <w:r>
              <w:rPr>
                <w:rFonts w:ascii="游ゴシック" w:hAnsi="游ゴシック" w:eastAsia="游ゴシック"/>
                <w:b/>
                <w:i w:val="0"/>
                <w:sz w:val="17"/>
              </w:rPr>
              <w:t>人と人日が入れ替わっているとみられる</w:t>
            </w:r>
          </w:p>
        </w:tc>
      </w:tr>
      <w:tr>
        <w:tc>
          <w:tcPr>
            <w:tcW w:type="dxa" w:w="2041"/>
            <w:vAlign w:val="center"/>
          </w:tcPr>
          <w:p>
            <w:pPr>
              <w:spacing w:before="20" w:after="20"/>
            </w:pPr>
            <w:r>
              <w:rPr>
                <w:rFonts w:ascii="游ゴシック" w:hAnsi="游ゴシック" w:eastAsia="游ゴシック"/>
                <w:b w:val="0"/>
                <w:i w:val="0"/>
                <w:sz w:val="17"/>
              </w:rPr>
              <w:t>放課後等デイサービス</w:t>
            </w:r>
          </w:p>
        </w:tc>
        <w:tc>
          <w:tcPr>
            <w:tcW w:type="dxa" w:w="2268"/>
            <w:vAlign w:val="center"/>
          </w:tcPr>
          <w:p>
            <w:pPr>
              <w:spacing w:before="20" w:after="20"/>
            </w:pPr>
            <w:r>
              <w:rPr>
                <w:rFonts w:ascii="游ゴシック" w:hAnsi="游ゴシック" w:eastAsia="游ゴシック"/>
                <w:b w:val="0"/>
                <w:i w:val="0"/>
                <w:sz w:val="17"/>
              </w:rPr>
              <w:t>31人／93人日</w:t>
            </w:r>
          </w:p>
        </w:tc>
        <w:tc>
          <w:tcPr>
            <w:tcW w:type="dxa" w:w="2268"/>
            <w:vAlign w:val="center"/>
          </w:tcPr>
          <w:p>
            <w:pPr>
              <w:spacing w:before="20" w:after="20"/>
            </w:pPr>
            <w:r>
              <w:rPr>
                <w:rFonts w:ascii="游ゴシック" w:hAnsi="游ゴシック" w:eastAsia="游ゴシック"/>
                <w:b w:val="0"/>
                <w:i w:val="0"/>
                <w:sz w:val="17"/>
              </w:rPr>
              <w:t>391人／23人日</w:t>
            </w:r>
          </w:p>
        </w:tc>
        <w:tc>
          <w:tcPr>
            <w:tcW w:type="dxa" w:w="3175"/>
            <w:vAlign w:val="center"/>
          </w:tcPr>
          <w:p>
            <w:pPr>
              <w:spacing w:before="20" w:after="20"/>
            </w:pPr>
            <w:r>
              <w:rPr>
                <w:rFonts w:ascii="游ゴシック" w:hAnsi="游ゴシック" w:eastAsia="游ゴシック"/>
                <w:b w:val="0"/>
                <w:i w:val="0"/>
                <w:sz w:val="17"/>
              </w:rPr>
              <w:t>「391 人・23 人日」。第6期の実績は31人・93人日。</w:t>
            </w:r>
            <w:r>
              <w:rPr>
                <w:rFonts w:ascii="游ゴシック" w:hAnsi="游ゴシック" w:eastAsia="游ゴシック"/>
                <w:b/>
                <w:i w:val="0"/>
                <w:sz w:val="17"/>
              </w:rPr>
              <w:t>本町の手帳所持者は508人であり、月391人の利用はありえない</w:t>
            </w:r>
          </w:p>
        </w:tc>
      </w:tr>
    </w:tbl>
    <w:p>
      <w:pPr>
        <w:spacing w:after="40"/>
      </w:pPr>
    </w:p>
    <w:p>
      <w:pPr>
        <w:spacing w:before="40" w:after="160"/>
        <w:ind w:left="113"/>
      </w:pPr>
      <w:r>
        <w:rPr>
          <w:rFonts w:ascii="游ゴシック" w:hAnsi="游ゴシック" w:eastAsia="游ゴシック"/>
          <w:b/>
          <w:i w:val="0"/>
          <w:sz w:val="17"/>
        </w:rPr>
        <w:t>※ 人と人日が入れ替わっているとみられます。</w:t>
      </w:r>
      <w:r>
        <w:rPr>
          <w:rFonts w:ascii="游ゴシック" w:hAnsi="游ゴシック" w:eastAsia="游ゴシック"/>
          <w:b/>
          <w:i w:val="0"/>
          <w:sz w:val="17"/>
        </w:rPr>
        <w:t>本町の手帳所持者は495人（令和8年）であり、放課後等デイサービスを月391人が利用することはありえません。</w:t>
      </w:r>
      <w:r>
        <w:rPr>
          <w:rFonts w:ascii="游ゴシック" w:hAnsi="游ゴシック" w:eastAsia="游ゴシック"/>
          <w:b w:val="0"/>
          <w:i w:val="0"/>
          <w:sz w:val="17"/>
        </w:rPr>
        <w:t>当方の読み違いである可能性も残るため、</w:t>
      </w:r>
      <w:r>
        <w:rPr>
          <w:rFonts w:ascii="游ゴシック" w:hAnsi="游ゴシック" w:eastAsia="游ゴシック"/>
          <w:b/>
          <w:i w:val="0"/>
          <w:sz w:val="17"/>
        </w:rPr>
        <w:t>値は前回計画のまま載せ、町に確かめたうえで第8期に用います</w:t>
      </w:r>
      <w:r>
        <w:rPr>
          <w:rFonts w:ascii="游ゴシック" w:hAnsi="游ゴシック" w:eastAsia="游ゴシック"/>
          <w:b w:val="0"/>
          <w:i w:val="0"/>
          <w:sz w:val="17"/>
        </w:rPr>
        <w:t>（【町データ待ち】）。なお、障がい児の表だけ見出しが「◆第7期の目標」となっており、ほかの「◆第7期の見込量」と違います。</w:t>
      </w:r>
    </w:p>
    <w:p>
      <w:pPr>
        <w:spacing w:after="120"/>
      </w:pPr>
    </w:p>
    <w:p>
      <w:pPr>
        <w:spacing w:before="40" w:after="160"/>
        <w:ind w:left="113"/>
      </w:pPr>
      <w:r>
        <w:rPr>
          <w:rFonts w:ascii="游ゴシック" w:hAnsi="游ゴシック" w:eastAsia="游ゴシック"/>
          <w:b/>
          <w:i w:val="0"/>
          <w:sz w:val="17"/>
        </w:rPr>
        <w:t>※ 実績のある福祉型を0とし、実績のない医療型に見込みを立てています。</w:t>
      </w:r>
      <w:r>
        <w:rPr>
          <w:rFonts w:ascii="游ゴシック" w:hAnsi="游ゴシック" w:eastAsia="游ゴシック"/>
          <w:b w:val="0"/>
          <w:i w:val="0"/>
          <w:sz w:val="17"/>
        </w:rPr>
        <w:t>前回計画の本文は「短期入所（医療型）については、今後も利用が見込まれることから、第7期は各年度3人、24人日（一人あたり12人日）として算出しています」としていますが、</w:t>
      </w:r>
      <w:r>
        <w:rPr>
          <w:rFonts w:ascii="游ゴシック" w:hAnsi="游ゴシック" w:eastAsia="游ゴシック"/>
          <w:b/>
          <w:i w:val="0"/>
          <w:sz w:val="17"/>
        </w:rPr>
        <w:t>表は2人</w:t>
      </w:r>
      <w:r>
        <w:rPr>
          <w:rFonts w:ascii="游ゴシック" w:hAnsi="游ゴシック" w:eastAsia="游ゴシック"/>
          <w:b w:val="0"/>
          <w:i w:val="0"/>
          <w:sz w:val="17"/>
        </w:rPr>
        <w:t>です。24人日÷12人日＝2人ですので、</w:t>
      </w:r>
      <w:r>
        <w:rPr>
          <w:rFonts w:ascii="游ゴシック" w:hAnsi="游ゴシック" w:eastAsia="游ゴシック"/>
          <w:b/>
          <w:i w:val="0"/>
          <w:sz w:val="17"/>
        </w:rPr>
        <w:t>本文の3人のほうが表とも計算とも合いません。</w:t>
      </w:r>
      <w:r>
        <w:rPr>
          <w:rFonts w:ascii="游ゴシック" w:hAnsi="游ゴシック" w:eastAsia="游ゴシック"/>
          <w:b/>
          <w:i w:val="0"/>
          <w:sz w:val="17"/>
        </w:rPr>
        <w:t>第8期は、実績のある福祉型に見込みを置きます</w:t>
      </w:r>
      <w:r>
        <w:rPr>
          <w:rFonts w:ascii="游ゴシック" w:hAnsi="游ゴシック" w:eastAsia="游ゴシック"/>
          <w:b w:val="0"/>
          <w:i w:val="0"/>
          <w:sz w:val="17"/>
        </w:rPr>
        <w:t>（【町データ待ち】）。</w:t>
      </w: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i w:val="0"/>
          <w:sz w:val="21"/>
        </w:rPr>
        <w:t>前回計画の第2部（障がい者計画）は、9つの分野に49項目の施策を掲げ、96の取組を書いています。</w:t>
      </w:r>
      <w:r>
        <w:rPr>
          <w:rFonts w:ascii="游ゴシック" w:hAnsi="游ゴシック" w:eastAsia="游ゴシック"/>
          <w:b w:val="0"/>
          <w:i w:val="0"/>
          <w:sz w:val="21"/>
        </w:rPr>
        <w:t>本計画の第2部がこれをどう引き継ぐかは、次のとおりです。</w:t>
      </w:r>
    </w:p>
    <w:p>
      <w:pPr>
        <w:keepNext/>
        <w:spacing w:before="200" w:after="40"/>
      </w:pPr>
      <w:r>
        <w:rPr>
          <w:rFonts w:ascii="游ゴシック" w:hAnsi="游ゴシック" w:eastAsia="游ゴシック"/>
          <w:b/>
          <w:i w:val="0"/>
          <w:color w:val="1F4D78"/>
          <w:sz w:val="22"/>
        </w:rPr>
        <w:t>【表15】第1部第3章　現行計画の評価と課題（4）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37"/>
        <w:gridCol w:w="737"/>
        <w:gridCol w:w="1928"/>
        <w:gridCol w:w="374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前回計画の章</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取組</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本計画の章</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引き継ぎ方</w:t>
            </w:r>
          </w:p>
        </w:tc>
      </w:tr>
      <w:tr>
        <w:tc>
          <w:tcPr>
            <w:tcW w:type="dxa" w:w="2608"/>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i w:val="0"/>
                <w:sz w:val="17"/>
              </w:rPr>
              <w:t>第2章</w:t>
            </w:r>
            <w:r>
              <w:rPr>
                <w:rFonts w:ascii="游ゴシック" w:hAnsi="游ゴシック" w:eastAsia="游ゴシック"/>
                <w:b w:val="0"/>
                <w:i w:val="0"/>
                <w:sz w:val="17"/>
              </w:rPr>
              <w:t xml:space="preserve">　差別解消・権利擁護の推進</w:t>
            </w:r>
          </w:p>
        </w:tc>
        <w:tc>
          <w:tcPr>
            <w:tcW w:type="dxa" w:w="3742"/>
            <w:vAlign w:val="center"/>
          </w:tcPr>
          <w:p>
            <w:pPr>
              <w:spacing w:before="20" w:after="20"/>
            </w:pPr>
            <w:r>
              <w:rPr>
                <w:rFonts w:ascii="游ゴシック" w:hAnsi="游ゴシック" w:eastAsia="游ゴシック"/>
                <w:b/>
                <w:i w:val="0"/>
                <w:sz w:val="17"/>
              </w:rPr>
              <w:t>意思決定支援を独立した節（3）として加えます</w:t>
            </w:r>
            <w:r>
              <w:rPr>
                <w:rFonts w:ascii="游ゴシック" w:hAnsi="游ゴシック" w:eastAsia="游ゴシック"/>
                <w:b w:val="0"/>
                <w:i w:val="0"/>
                <w:sz w:val="17"/>
              </w:rPr>
              <w:t>（基本指針 別表第二 六の項④）</w:t>
            </w:r>
          </w:p>
        </w:tc>
      </w:tr>
      <w:tr>
        <w:tc>
          <w:tcPr>
            <w:tcW w:type="dxa" w:w="2608"/>
            <w:vAlign w:val="center"/>
          </w:tcPr>
          <w:p>
            <w:pPr>
              <w:spacing w:before="20" w:after="20"/>
            </w:pPr>
            <w:r>
              <w:rPr>
                <w:rFonts w:ascii="游ゴシック" w:hAnsi="游ゴシック" w:eastAsia="游ゴシック"/>
                <w:b w:val="0"/>
                <w:i w:val="0"/>
                <w:sz w:val="17"/>
              </w:rPr>
              <w:t>第3章　安全・安心な生活環境の整備</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第3章</w:t>
            </w:r>
            <w:r>
              <w:rPr>
                <w:rFonts w:ascii="游ゴシック" w:hAnsi="游ゴシック" w:eastAsia="游ゴシック"/>
                <w:b w:val="0"/>
                <w:i w:val="0"/>
                <w:sz w:val="17"/>
              </w:rPr>
              <w:t xml:space="preserve">　安全・安心な生活環境の整備</w:t>
            </w:r>
          </w:p>
        </w:tc>
        <w:tc>
          <w:tcPr>
            <w:tcW w:type="dxa" w:w="3742"/>
            <w:vAlign w:val="center"/>
          </w:tcPr>
          <w:p>
            <w:pPr>
              <w:spacing w:before="20" w:after="20"/>
            </w:pPr>
            <w:r>
              <w:rPr>
                <w:rFonts w:ascii="游ゴシック" w:hAnsi="游ゴシック" w:eastAsia="游ゴシック"/>
                <w:b/>
                <w:i w:val="0"/>
                <w:sz w:val="17"/>
              </w:rPr>
              <w:t>住宅セーフティネット法の居住支援協議会を加えます。</w:t>
            </w:r>
            <w:r>
              <w:rPr>
                <w:rFonts w:ascii="游ゴシック" w:hAnsi="游ゴシック" w:eastAsia="游ゴシック"/>
                <w:b w:val="0"/>
                <w:i w:val="0"/>
                <w:sz w:val="17"/>
              </w:rPr>
              <w:t>節の構成は前回どおり</w:t>
            </w:r>
          </w:p>
        </w:tc>
      </w:tr>
      <w:tr>
        <w:tc>
          <w:tcPr>
            <w:tcW w:type="dxa" w:w="2608"/>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i w:val="0"/>
                <w:sz w:val="17"/>
              </w:rPr>
              <w:t>第4章</w:t>
            </w:r>
            <w:r>
              <w:rPr>
                <w:rFonts w:ascii="游ゴシック" w:hAnsi="游ゴシック" w:eastAsia="游ゴシック"/>
                <w:b w:val="0"/>
                <w:i w:val="0"/>
                <w:sz w:val="17"/>
              </w:rPr>
              <w:t xml:space="preserve">　情報アクセシビリティの向上及び意思疎通支援の充実</w:t>
            </w:r>
          </w:p>
        </w:tc>
        <w:tc>
          <w:tcPr>
            <w:tcW w:type="dxa" w:w="3742"/>
            <w:vAlign w:val="center"/>
          </w:tcPr>
          <w:p>
            <w:pPr>
              <w:spacing w:before="20" w:after="20"/>
            </w:pPr>
            <w:r>
              <w:rPr>
                <w:rFonts w:ascii="游ゴシック" w:hAnsi="游ゴシック" w:eastAsia="游ゴシック"/>
                <w:b/>
                <w:i w:val="0"/>
                <w:sz w:val="17"/>
              </w:rPr>
              <w:t>前回は節がありませんでした。</w:t>
            </w:r>
            <w:r>
              <w:rPr>
                <w:rFonts w:ascii="游ゴシック" w:hAnsi="游ゴシック" w:eastAsia="游ゴシック"/>
                <w:b w:val="0"/>
                <w:i w:val="0"/>
                <w:sz w:val="17"/>
              </w:rPr>
              <w:t>町条例（令和7年4月）を根拠に</w:t>
            </w:r>
            <w:r>
              <w:rPr>
                <w:rFonts w:ascii="游ゴシック" w:hAnsi="游ゴシック" w:eastAsia="游ゴシック"/>
                <w:b/>
                <w:i w:val="0"/>
                <w:sz w:val="17"/>
              </w:rPr>
              <w:t>3つの節を立てます</w:t>
            </w:r>
          </w:p>
        </w:tc>
      </w:tr>
      <w:tr>
        <w:tc>
          <w:tcPr>
            <w:tcW w:type="dxa" w:w="2608"/>
            <w:vAlign w:val="center"/>
          </w:tcPr>
          <w:p>
            <w:pPr>
              <w:spacing w:before="20" w:after="20"/>
            </w:pPr>
            <w:r>
              <w:rPr>
                <w:rFonts w:ascii="游ゴシック" w:hAnsi="游ゴシック" w:eastAsia="游ゴシック"/>
                <w:b w:val="0"/>
                <w:i w:val="0"/>
                <w:sz w:val="17"/>
              </w:rPr>
              <w:t>第5章　防犯・防災の推進</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第5章</w:t>
            </w:r>
            <w:r>
              <w:rPr>
                <w:rFonts w:ascii="游ゴシック" w:hAnsi="游ゴシック" w:eastAsia="游ゴシック"/>
                <w:b w:val="0"/>
                <w:i w:val="0"/>
                <w:sz w:val="17"/>
              </w:rPr>
              <w:t xml:space="preserve">　防犯・防災の推進</w:t>
            </w:r>
          </w:p>
        </w:tc>
        <w:tc>
          <w:tcPr>
            <w:tcW w:type="dxa" w:w="3742"/>
            <w:vAlign w:val="center"/>
          </w:tcPr>
          <w:p>
            <w:pPr>
              <w:spacing w:before="20" w:after="20"/>
            </w:pPr>
            <w:r>
              <w:rPr>
                <w:rFonts w:ascii="游ゴシック" w:hAnsi="游ゴシック" w:eastAsia="游ゴシック"/>
                <w:b/>
                <w:i w:val="0"/>
                <w:sz w:val="17"/>
              </w:rPr>
              <w:t>個別避難計画を厚く書きます。</w:t>
            </w:r>
            <w:r>
              <w:rPr>
                <w:rFonts w:ascii="游ゴシック" w:hAnsi="游ゴシック" w:eastAsia="游ゴシック"/>
                <w:b w:val="0"/>
                <w:i w:val="0"/>
                <w:sz w:val="17"/>
              </w:rPr>
              <w:t>医療的ケア児等支援センターの協力（令和9年4月施行）を加えます</w:t>
            </w:r>
          </w:p>
        </w:tc>
      </w:tr>
      <w:tr>
        <w:tc>
          <w:tcPr>
            <w:tcW w:type="dxa" w:w="2608"/>
            <w:vAlign w:val="center"/>
          </w:tcPr>
          <w:p>
            <w:pPr>
              <w:spacing w:before="20" w:after="20"/>
            </w:pPr>
            <w:r>
              <w:rPr>
                <w:rFonts w:ascii="游ゴシック" w:hAnsi="游ゴシック" w:eastAsia="游ゴシック"/>
                <w:b w:val="0"/>
                <w:i w:val="0"/>
                <w:sz w:val="17"/>
              </w:rPr>
              <w:t>第6章　保健・医療の推進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第6章</w:t>
            </w:r>
            <w:r>
              <w:rPr>
                <w:rFonts w:ascii="游ゴシック" w:hAnsi="游ゴシック" w:eastAsia="游ゴシック"/>
                <w:b w:val="0"/>
                <w:i w:val="0"/>
                <w:sz w:val="17"/>
              </w:rPr>
              <w:t xml:space="preserve">　保健・医療の充実</w:t>
            </w:r>
          </w:p>
        </w:tc>
        <w:tc>
          <w:tcPr>
            <w:tcW w:type="dxa" w:w="3742"/>
            <w:vAlign w:val="center"/>
          </w:tcPr>
          <w:p>
            <w:pPr>
              <w:spacing w:before="20" w:after="20"/>
            </w:pPr>
            <w:r>
              <w:rPr>
                <w:rFonts w:ascii="游ゴシック" w:hAnsi="游ゴシック" w:eastAsia="游ゴシック"/>
                <w:b/>
                <w:i w:val="0"/>
                <w:sz w:val="17"/>
              </w:rPr>
              <w:t>医療的ケア児等への支援を新たな節（3）として加えます。</w:t>
            </w:r>
            <w:r>
              <w:rPr>
                <w:rFonts w:ascii="游ゴシック" w:hAnsi="游ゴシック" w:eastAsia="游ゴシック"/>
                <w:b w:val="0"/>
                <w:i w:val="0"/>
                <w:sz w:val="17"/>
              </w:rPr>
              <w:t>にも包括を第1節に位置づけます</w:t>
            </w:r>
          </w:p>
        </w:tc>
      </w:tr>
      <w:tr>
        <w:tc>
          <w:tcPr>
            <w:tcW w:type="dxa" w:w="2608"/>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第7章</w:t>
            </w:r>
            <w:r>
              <w:rPr>
                <w:rFonts w:ascii="游ゴシック" w:hAnsi="游ゴシック" w:eastAsia="游ゴシック"/>
                <w:b w:val="0"/>
                <w:i w:val="0"/>
                <w:sz w:val="17"/>
              </w:rPr>
              <w:t xml:space="preserve">　自立生活支援・相談支援体制の充実</w:t>
            </w:r>
          </w:p>
        </w:tc>
        <w:tc>
          <w:tcPr>
            <w:tcW w:type="dxa" w:w="3742"/>
            <w:vAlign w:val="center"/>
          </w:tcPr>
          <w:p>
            <w:pPr>
              <w:spacing w:before="20" w:after="20"/>
            </w:pPr>
            <w:r>
              <w:rPr>
                <w:rFonts w:ascii="游ゴシック" w:hAnsi="游ゴシック" w:eastAsia="游ゴシック"/>
                <w:b/>
                <w:i w:val="0"/>
                <w:sz w:val="17"/>
              </w:rPr>
              <w:t>3節を6節に広げます</w:t>
            </w:r>
            <w:r>
              <w:rPr>
                <w:rFonts w:ascii="游ゴシック" w:hAnsi="游ゴシック" w:eastAsia="游ゴシック"/>
                <w:b w:val="0"/>
                <w:i w:val="0"/>
                <w:sz w:val="17"/>
              </w:rPr>
              <w:t>（地域生活支援拠点／家族介助者／経済的負担／65歳到達）。</w:t>
            </w:r>
            <w:r>
              <w:rPr>
                <w:rFonts w:ascii="游ゴシック" w:hAnsi="游ゴシック" w:eastAsia="游ゴシック"/>
                <w:b/>
                <w:i w:val="0"/>
                <w:sz w:val="17"/>
              </w:rPr>
              <w:t>意思決定支援は第2章3へ、障がい児支援は第6章3・第8章へ</w:t>
            </w:r>
          </w:p>
        </w:tc>
      </w:tr>
      <w:tr>
        <w:tc>
          <w:tcPr>
            <w:tcW w:type="dxa" w:w="2608"/>
            <w:vAlign w:val="center"/>
          </w:tcPr>
          <w:p>
            <w:pPr>
              <w:spacing w:before="20" w:after="20"/>
            </w:pPr>
            <w:r>
              <w:rPr>
                <w:rFonts w:ascii="游ゴシック" w:hAnsi="游ゴシック" w:eastAsia="游ゴシック"/>
                <w:b w:val="0"/>
                <w:i w:val="0"/>
                <w:sz w:val="17"/>
              </w:rPr>
              <w:t>第8章　教育の振興</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i w:val="0"/>
                <w:sz w:val="17"/>
              </w:rPr>
              <w:t>第8章</w:t>
            </w:r>
            <w:r>
              <w:rPr>
                <w:rFonts w:ascii="游ゴシック" w:hAnsi="游ゴシック" w:eastAsia="游ゴシック"/>
                <w:b w:val="0"/>
                <w:i w:val="0"/>
                <w:sz w:val="17"/>
              </w:rPr>
              <w:t xml:space="preserve">　教育の振興</w:t>
            </w:r>
          </w:p>
        </w:tc>
        <w:tc>
          <w:tcPr>
            <w:tcW w:type="dxa" w:w="3742"/>
            <w:vAlign w:val="center"/>
          </w:tcPr>
          <w:p>
            <w:pPr>
              <w:spacing w:before="20" w:after="20"/>
            </w:pPr>
            <w:r>
              <w:rPr>
                <w:rFonts w:ascii="游ゴシック" w:hAnsi="游ゴシック" w:eastAsia="游ゴシック"/>
                <w:b/>
                <w:i w:val="0"/>
                <w:sz w:val="17"/>
              </w:rPr>
              <w:t>18歳移行を見据えた進路支援を新たな節（4）として加えます</w:t>
            </w:r>
          </w:p>
        </w:tc>
      </w:tr>
      <w:tr>
        <w:tc>
          <w:tcPr>
            <w:tcW w:type="dxa" w:w="2608"/>
            <w:vAlign w:val="center"/>
          </w:tcPr>
          <w:p>
            <w:pPr>
              <w:keepNext/>
              <w:spacing w:before="20" w:after="20"/>
            </w:pPr>
            <w:r>
              <w:rPr>
                <w:rFonts w:ascii="游ゴシック" w:hAnsi="游ゴシック" w:eastAsia="游ゴシック"/>
                <w:b w:val="0"/>
                <w:i w:val="0"/>
                <w:sz w:val="17"/>
              </w:rPr>
              <w:t>第9章　雇用・就業、経済的自立の支援</w:t>
            </w:r>
          </w:p>
        </w:tc>
        <w:tc>
          <w:tcPr>
            <w:tcW w:type="dxa" w:w="737"/>
            <w:vAlign w:val="center"/>
          </w:tcPr>
          <w:p>
            <w:pPr>
              <w:keepNext/>
              <w:spacing w:before="20" w:after="20"/>
              <w:jc w:val="right"/>
            </w:pPr>
            <w:r>
              <w:rPr>
                <w:rFonts w:ascii="游ゴシック" w:hAnsi="游ゴシック" w:eastAsia="游ゴシック"/>
                <w:b w:val="0"/>
                <w:i w:val="0"/>
                <w:sz w:val="17"/>
              </w:rPr>
              <w:t>8</w:t>
            </w:r>
          </w:p>
        </w:tc>
        <w:tc>
          <w:tcPr>
            <w:tcW w:type="dxa" w:w="737"/>
            <w:vAlign w:val="center"/>
          </w:tcPr>
          <w:p>
            <w:pPr>
              <w:keepNext/>
              <w:spacing w:before="20" w:after="20"/>
              <w:jc w:val="right"/>
            </w:pPr>
            <w:r>
              <w:rPr>
                <w:rFonts w:ascii="游ゴシック" w:hAnsi="游ゴシック" w:eastAsia="游ゴシック"/>
                <w:b w:val="0"/>
                <w:i w:val="0"/>
                <w:sz w:val="17"/>
              </w:rPr>
              <w:t>14</w:t>
            </w:r>
          </w:p>
        </w:tc>
        <w:tc>
          <w:tcPr>
            <w:tcW w:type="dxa" w:w="1928"/>
            <w:vAlign w:val="center"/>
          </w:tcPr>
          <w:p>
            <w:pPr>
              <w:keepNext/>
              <w:spacing w:before="20" w:after="20"/>
            </w:pPr>
            <w:r>
              <w:rPr>
                <w:rFonts w:ascii="游ゴシック" w:hAnsi="游ゴシック" w:eastAsia="游ゴシック"/>
                <w:b/>
                <w:i w:val="0"/>
                <w:sz w:val="17"/>
              </w:rPr>
              <w:t>第9章</w:t>
            </w:r>
            <w:r>
              <w:rPr>
                <w:rFonts w:ascii="游ゴシック" w:hAnsi="游ゴシック" w:eastAsia="游ゴシック"/>
                <w:b w:val="0"/>
                <w:i w:val="0"/>
                <w:sz w:val="17"/>
              </w:rPr>
              <w:t xml:space="preserve">　雇用・就業、経済的自立の支援</w:t>
            </w:r>
          </w:p>
        </w:tc>
        <w:tc>
          <w:tcPr>
            <w:tcW w:type="dxa" w:w="3742"/>
            <w:vAlign w:val="center"/>
          </w:tcPr>
          <w:p>
            <w:pPr>
              <w:keepNext/>
              <w:spacing w:before="20" w:after="20"/>
            </w:pPr>
            <w:r>
              <w:rPr>
                <w:rFonts w:ascii="游ゴシック" w:hAnsi="游ゴシック" w:eastAsia="游ゴシック"/>
                <w:b/>
                <w:i w:val="0"/>
                <w:sz w:val="17"/>
              </w:rPr>
              <w:t>就労選択支援（令和7年10月創設）を第1節に加えます</w:t>
            </w:r>
          </w:p>
        </w:tc>
      </w:tr>
      <w:tr>
        <w:tc>
          <w:tcPr>
            <w:tcW w:type="dxa" w:w="2608"/>
            <w:vAlign w:val="center"/>
          </w:tcPr>
          <w:p>
            <w:pPr>
              <w:spacing w:before="20" w:after="20"/>
            </w:pPr>
            <w:r>
              <w:rPr>
                <w:rFonts w:ascii="游ゴシック" w:hAnsi="游ゴシック" w:eastAsia="游ゴシック"/>
                <w:b w:val="0"/>
                <w:i w:val="0"/>
                <w:sz w:val="17"/>
              </w:rPr>
              <w:t>第10章　文化芸術活動・スポーツ活動等の進行</w:t>
            </w:r>
          </w:p>
        </w:tc>
        <w:tc>
          <w:tcPr>
            <w:tcW w:type="dxa" w:w="737"/>
            <w:vAlign w:val="center"/>
          </w:tcPr>
          <w:p>
            <w:pPr>
              <w:spacing w:before="20" w:after="20"/>
              <w:jc w:val="right"/>
            </w:pPr>
            <w:r>
              <w:rPr>
                <w:rFonts w:ascii="游ゴシック" w:hAnsi="游ゴシック" w:eastAsia="游ゴシック"/>
                <w:b w:val="0"/>
                <w:i w:val="0"/>
                <w:sz w:val="17"/>
              </w:rPr>
              <w:t>2</w:t>
            </w:r>
          </w:p>
        </w:tc>
        <w:tc>
          <w:tcPr>
            <w:tcW w:type="dxa" w:w="737"/>
            <w:vAlign w:val="center"/>
          </w:tcPr>
          <w:p>
            <w:pPr>
              <w:spacing w:before="20" w:after="20"/>
              <w:jc w:val="right"/>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i w:val="0"/>
                <w:sz w:val="17"/>
              </w:rPr>
              <w:t>第10章</w:t>
            </w:r>
            <w:r>
              <w:rPr>
                <w:rFonts w:ascii="游ゴシック" w:hAnsi="游ゴシック" w:eastAsia="游ゴシック"/>
                <w:b w:val="0"/>
                <w:i w:val="0"/>
                <w:sz w:val="17"/>
              </w:rPr>
              <w:t xml:space="preserve">　文化芸術活動・スポーツ等の振興</w:t>
            </w:r>
          </w:p>
        </w:tc>
        <w:tc>
          <w:tcPr>
            <w:tcW w:type="dxa" w:w="3742"/>
            <w:vAlign w:val="center"/>
          </w:tcPr>
          <w:p>
            <w:pPr>
              <w:spacing w:before="20" w:after="20"/>
            </w:pPr>
            <w:r>
              <w:rPr>
                <w:rFonts w:ascii="游ゴシック" w:hAnsi="游ゴシック" w:eastAsia="游ゴシック"/>
                <w:b/>
                <w:i w:val="0"/>
                <w:sz w:val="17"/>
              </w:rPr>
              <w:t>3つの節を立てます。</w:t>
            </w:r>
            <w:r>
              <w:rPr>
                <w:rFonts w:ascii="游ゴシック" w:hAnsi="游ゴシック" w:eastAsia="游ゴシック"/>
                <w:b w:val="0"/>
                <w:i w:val="0"/>
                <w:sz w:val="17"/>
              </w:rPr>
              <w:t>前回の節の名は第9章のものが入っていました（下記）</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資料：おのまち障がい者基本計画・第7期障がい福祉計画・第3期障がい児福祉計画（令和6年3月）第2部。</w:t>
      </w:r>
      <w:r>
        <w:rPr>
          <w:rFonts w:ascii="游ゴシック" w:hAnsi="游ゴシック" w:eastAsia="游ゴシック"/>
          <w:b/>
          <w:i w:val="0"/>
          <w:sz w:val="17"/>
        </w:rPr>
        <w:t>項目は「施策の方向」の①②③…、取組はその下の○の数</w:t>
      </w:r>
      <w:r>
        <w:rPr>
          <w:rFonts w:ascii="游ゴシック" w:hAnsi="游ゴシック" w:eastAsia="游ゴシック"/>
          <w:b w:val="0"/>
          <w:i w:val="0"/>
          <w:sz w:val="17"/>
        </w:rPr>
        <w:t>を原本から数えたものです（`ono_shogai_zenkai.py`）。</w:t>
      </w:r>
      <w:r>
        <w:rPr>
          <w:rFonts w:ascii="游ゴシック" w:hAnsi="游ゴシック" w:eastAsia="游ゴシック"/>
          <w:b/>
          <w:i w:val="0"/>
          <w:sz w:val="17"/>
        </w:rPr>
        <w:t>各取組が実際にどこまで行われたかは【町データ待ち】です。</w:t>
      </w:r>
    </w:p>
    <w:p>
      <w:pPr>
        <w:spacing w:after="120"/>
      </w:pPr>
    </w:p>
    <w:p>
      <w:pPr>
        <w:spacing w:before="60" w:after="60"/>
      </w:pPr>
      <w:r>
        <w:rPr>
          <w:rFonts w:ascii="游ゴシック" w:hAnsi="游ゴシック" w:eastAsia="游ゴシック"/>
          <w:b/>
          <w:i w:val="0"/>
          <w:sz w:val="21"/>
        </w:rPr>
        <w:t>分野によって厚みが違います。</w:t>
      </w:r>
      <w:r>
        <w:rPr>
          <w:rFonts w:ascii="游ゴシック" w:hAnsi="游ゴシック" w:eastAsia="游ゴシック"/>
          <w:b w:val="0"/>
          <w:i w:val="0"/>
          <w:sz w:val="21"/>
        </w:rPr>
        <w:t>保健・医療（9項目18取組）と自立した生活の支援（9項目18取組）が最も厚く、</w:t>
      </w:r>
      <w:r>
        <w:rPr>
          <w:rFonts w:ascii="游ゴシック" w:hAnsi="游ゴシック" w:eastAsia="游ゴシック"/>
          <w:b/>
          <w:i w:val="0"/>
          <w:sz w:val="21"/>
        </w:rPr>
        <w:t>情報アクセシビリティ（3項目4取組）と文化芸術活動・スポーツ（2項目5取組）が最も薄い</w:t>
      </w:r>
      <w:r>
        <w:rPr>
          <w:rFonts w:ascii="游ゴシック" w:hAnsi="游ゴシック" w:eastAsia="游ゴシック"/>
          <w:b w:val="0"/>
          <w:i w:val="0"/>
          <w:sz w:val="21"/>
        </w:rPr>
        <w:t>構成でした。</w:t>
      </w:r>
      <w:r>
        <w:rPr>
          <w:rFonts w:ascii="游ゴシック" w:hAnsi="游ゴシック" w:eastAsia="游ゴシック"/>
          <w:b/>
          <w:i w:val="0"/>
          <w:sz w:val="21"/>
        </w:rPr>
        <w:t>本計画では、情報アクセシビリティに3つの節を立てて厚くします。</w:t>
      </w:r>
      <w:r>
        <w:rPr>
          <w:rFonts w:ascii="游ゴシック" w:hAnsi="游ゴシック" w:eastAsia="游ゴシック"/>
          <w:b w:val="0"/>
          <w:i w:val="0"/>
          <w:sz w:val="21"/>
        </w:rPr>
        <w:t>令和7年4月に町条例が施行されたためです（第2部第4章）。</w:t>
      </w:r>
    </w:p>
    <w:p>
      <w:pPr>
        <w:spacing w:after="120"/>
      </w:pPr>
    </w:p>
    <w:p>
      <w:pPr>
        <w:spacing w:before="60" w:after="60"/>
      </w:pPr>
      <w:r>
        <w:rPr>
          <w:rFonts w:ascii="游ゴシック" w:hAnsi="游ゴシック" w:eastAsia="游ゴシック"/>
          <w:b/>
          <w:i w:val="0"/>
          <w:sz w:val="21"/>
        </w:rPr>
        <w:t>9つの分野はすべて引き継ぎます。</w:t>
      </w:r>
      <w:r>
        <w:rPr>
          <w:rFonts w:ascii="游ゴシック" w:hAnsi="游ゴシック" w:eastAsia="游ゴシック"/>
          <w:b w:val="0"/>
          <w:i w:val="0"/>
          <w:sz w:val="21"/>
        </w:rPr>
        <w:t>そのうえで、本計画では次の3つを組み替えます。</w:t>
      </w:r>
    </w:p>
    <w:p>
      <w:pPr>
        <w:spacing w:before="60" w:after="60"/>
      </w:pPr>
      <w:r>
        <w:rPr>
          <w:rFonts w:ascii="游ゴシック" w:hAnsi="游ゴシック" w:eastAsia="游ゴシック"/>
          <w:b/>
          <w:i w:val="0"/>
          <w:sz w:val="21"/>
        </w:rPr>
        <w:t>①意思決定支援を、前回の第7章（自立した生活の支援）から第2章（差別解消・権利擁護）の独立した節に移します。</w:t>
      </w:r>
      <w:r>
        <w:rPr>
          <w:rFonts w:ascii="游ゴシック" w:hAnsi="游ゴシック" w:eastAsia="游ゴシック"/>
          <w:b w:val="0"/>
          <w:i w:val="0"/>
          <w:sz w:val="21"/>
        </w:rPr>
        <w:t>基本指針が権利擁護の文脈で求めているものだからです。</w:t>
      </w:r>
    </w:p>
    <w:p>
      <w:pPr>
        <w:spacing w:before="60" w:after="60"/>
      </w:pPr>
      <w:r>
        <w:rPr>
          <w:rFonts w:ascii="游ゴシック" w:hAnsi="游ゴシック" w:eastAsia="游ゴシック"/>
          <w:b/>
          <w:i w:val="0"/>
          <w:sz w:val="21"/>
        </w:rPr>
        <w:t>②前回の第7章3（障がいのある子どもに対する支援の充実）を、第6章3（医療的ケア児等への支援）と第8章（教育の振興）に分けます。</w:t>
      </w:r>
      <w:r>
        <w:rPr>
          <w:rFonts w:ascii="游ゴシック" w:hAnsi="游ゴシック" w:eastAsia="游ゴシック"/>
          <w:b w:val="0"/>
          <w:i w:val="0"/>
          <w:sz w:val="21"/>
        </w:rPr>
        <w:t>医療的ケア児支援法の改正により、支援の対象に18歳以上の医療的ケア児等・重症心身障害者が加わったためです。</w:t>
      </w:r>
    </w:p>
    <w:p>
      <w:pPr>
        <w:spacing w:before="60" w:after="60"/>
      </w:pPr>
      <w:r>
        <w:rPr>
          <w:rFonts w:ascii="游ゴシック" w:hAnsi="游ゴシック" w:eastAsia="游ゴシック"/>
          <w:b/>
          <w:i w:val="0"/>
          <w:sz w:val="21"/>
        </w:rPr>
        <w:t>③前回の第4章（情報アクセシビリティ）には節がありませんでした。</w:t>
      </w:r>
      <w:r>
        <w:rPr>
          <w:rFonts w:ascii="游ゴシック" w:hAnsi="游ゴシック" w:eastAsia="游ゴシック"/>
          <w:b/>
          <w:i w:val="0"/>
          <w:sz w:val="21"/>
        </w:rPr>
        <w:t>令和7年4月の町条例の施行を受けて、3つの節を立てます。</w:t>
      </w:r>
    </w:p>
    <w:p>
      <w:pPr>
        <w:spacing w:after="120"/>
      </w:pPr>
    </w:p>
    <w:p>
      <w:pPr>
        <w:spacing w:before="60" w:after="60"/>
      </w:pPr>
      <w:r>
        <w:rPr>
          <w:rFonts w:ascii="游ゴシック" w:hAnsi="游ゴシック" w:eastAsia="游ゴシック"/>
          <w:b/>
          <w:i w:val="0"/>
          <w:sz w:val="21"/>
        </w:rPr>
        <w:t>前回計画には、本計画で繰り返してはならない誤記が2件あります。</w:t>
      </w:r>
    </w:p>
    <w:p>
      <w:pPr>
        <w:keepNext/>
        <w:spacing w:before="200" w:after="40"/>
      </w:pPr>
      <w:r>
        <w:rPr>
          <w:rFonts w:ascii="游ゴシック" w:hAnsi="游ゴシック" w:eastAsia="游ゴシック"/>
          <w:b/>
          <w:i w:val="0"/>
          <w:color w:val="1F4D78"/>
          <w:sz w:val="22"/>
        </w:rPr>
        <w:t>【表16】第1部第3章　現行計画の評価と課題（5）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175"/>
        <w:gridCol w:w="4309"/>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前回計画の記載</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正しくは</w:t>
            </w:r>
          </w:p>
        </w:tc>
      </w:tr>
      <w:tr>
        <w:tc>
          <w:tcPr>
            <w:tcW w:type="dxa" w:w="2268"/>
            <w:vAlign w:val="center"/>
          </w:tcPr>
          <w:p>
            <w:pPr>
              <w:keepNext/>
              <w:spacing w:before="20" w:after="20"/>
            </w:pPr>
            <w:r>
              <w:rPr>
                <w:rFonts w:ascii="游ゴシック" w:hAnsi="游ゴシック" w:eastAsia="游ゴシック"/>
                <w:b w:val="0"/>
                <w:i w:val="0"/>
                <w:sz w:val="17"/>
              </w:rPr>
              <w:t>第10章のページヘッダ</w:t>
            </w:r>
          </w:p>
        </w:tc>
        <w:tc>
          <w:tcPr>
            <w:tcW w:type="dxa" w:w="3175"/>
            <w:vAlign w:val="center"/>
          </w:tcPr>
          <w:p>
            <w:pPr>
              <w:keepNext/>
              <w:spacing w:before="20" w:after="20"/>
            </w:pPr>
            <w:r>
              <w:rPr>
                <w:rFonts w:ascii="游ゴシック" w:hAnsi="游ゴシック" w:eastAsia="游ゴシック"/>
                <w:b w:val="0"/>
                <w:i w:val="0"/>
                <w:sz w:val="17"/>
              </w:rPr>
              <w:t>文化芸術活動・スポーツ活動等の</w:t>
            </w:r>
            <w:r>
              <w:rPr>
                <w:rFonts w:ascii="游ゴシック" w:hAnsi="游ゴシック" w:eastAsia="游ゴシック"/>
                <w:b/>
                <w:i w:val="0"/>
                <w:sz w:val="17"/>
              </w:rPr>
              <w:t>進行</w:t>
            </w:r>
          </w:p>
        </w:tc>
        <w:tc>
          <w:tcPr>
            <w:tcW w:type="dxa" w:w="4309"/>
            <w:vAlign w:val="center"/>
          </w:tcPr>
          <w:p>
            <w:pPr>
              <w:keepNext/>
              <w:spacing w:before="20" w:after="20"/>
            </w:pPr>
            <w:r>
              <w:rPr>
                <w:rFonts w:ascii="游ゴシック" w:hAnsi="游ゴシック" w:eastAsia="游ゴシック"/>
                <w:b w:val="0"/>
                <w:i w:val="0"/>
                <w:sz w:val="17"/>
              </w:rPr>
              <w:t>目次と本文の見出しは「</w:t>
            </w:r>
            <w:r>
              <w:rPr>
                <w:rFonts w:ascii="游ゴシック" w:hAnsi="游ゴシック" w:eastAsia="游ゴシック"/>
                <w:b/>
                <w:i w:val="0"/>
                <w:sz w:val="17"/>
              </w:rPr>
              <w:t>振興</w:t>
            </w:r>
            <w:r>
              <w:rPr>
                <w:rFonts w:ascii="游ゴシック" w:hAnsi="游ゴシック" w:eastAsia="游ゴシック"/>
                <w:b w:val="0"/>
                <w:i w:val="0"/>
                <w:sz w:val="17"/>
              </w:rPr>
              <w:t>」。ヘッダだけが誤り</w:t>
            </w:r>
          </w:p>
        </w:tc>
      </w:tr>
      <w:tr>
        <w:tc>
          <w:tcPr>
            <w:tcW w:type="dxa" w:w="2268"/>
            <w:vAlign w:val="center"/>
          </w:tcPr>
          <w:p>
            <w:pPr>
              <w:spacing w:before="20" w:after="20"/>
            </w:pPr>
            <w:r>
              <w:rPr>
                <w:rFonts w:ascii="游ゴシック" w:hAnsi="游ゴシック" w:eastAsia="游ゴシック"/>
                <w:b w:val="0"/>
                <w:i w:val="0"/>
                <w:sz w:val="17"/>
              </w:rPr>
              <w:t>第10章の節の名</w:t>
            </w:r>
          </w:p>
        </w:tc>
        <w:tc>
          <w:tcPr>
            <w:tcW w:type="dxa" w:w="3175"/>
            <w:vAlign w:val="center"/>
          </w:tcPr>
          <w:p>
            <w:pPr>
              <w:spacing w:before="20" w:after="20"/>
            </w:pPr>
            <w:r>
              <w:rPr>
                <w:rFonts w:ascii="游ゴシック" w:hAnsi="游ゴシック" w:eastAsia="游ゴシック"/>
                <w:b w:val="0"/>
                <w:i w:val="0"/>
                <w:sz w:val="17"/>
              </w:rPr>
              <w:t xml:space="preserve">１ </w:t>
            </w:r>
            <w:r>
              <w:rPr>
                <w:rFonts w:ascii="游ゴシック" w:hAnsi="游ゴシック" w:eastAsia="游ゴシック"/>
                <w:b/>
                <w:i w:val="0"/>
                <w:sz w:val="17"/>
              </w:rPr>
              <w:t>総合的な就労支援</w:t>
            </w:r>
          </w:p>
        </w:tc>
        <w:tc>
          <w:tcPr>
            <w:tcW w:type="dxa" w:w="4309"/>
            <w:vAlign w:val="center"/>
          </w:tcPr>
          <w:p>
            <w:pPr>
              <w:spacing w:before="20" w:after="20"/>
            </w:pPr>
            <w:r>
              <w:rPr>
                <w:rFonts w:ascii="游ゴシック" w:hAnsi="游ゴシック" w:eastAsia="游ゴシック"/>
                <w:b/>
                <w:i w:val="0"/>
                <w:sz w:val="17"/>
              </w:rPr>
              <w:t>第9章第1節の名がそのまま入っている。</w:t>
            </w:r>
            <w:r>
              <w:rPr>
                <w:rFonts w:ascii="游ゴシック" w:hAnsi="游ゴシック" w:eastAsia="游ゴシック"/>
                <w:b w:val="0"/>
                <w:i w:val="0"/>
                <w:sz w:val="17"/>
              </w:rPr>
              <w:t>章は文化芸術活動・スポーツ活動等の振興</w:t>
            </w:r>
          </w:p>
        </w:tc>
      </w:tr>
    </w:tbl>
    <w:p>
      <w:pPr>
        <w:spacing w:after="40"/>
      </w:pPr>
    </w:p>
    <w:p>
      <w:pPr>
        <w:spacing w:before="40" w:after="160"/>
        <w:ind w:left="113"/>
      </w:pPr>
      <w:r>
        <w:rPr>
          <w:rFonts w:ascii="游ゴシック" w:hAnsi="游ゴシック" w:eastAsia="游ゴシック"/>
          <w:b/>
          <w:i w:val="0"/>
          <w:sz w:val="17"/>
        </w:rPr>
        <w:t>※ いずれも第10章です。</w:t>
      </w:r>
      <w:r>
        <w:rPr>
          <w:rFonts w:ascii="游ゴシック" w:hAnsi="游ゴシック" w:eastAsia="游ゴシック"/>
          <w:b w:val="0"/>
          <w:i w:val="0"/>
          <w:sz w:val="17"/>
        </w:rPr>
        <w:t>節の名は第9章第1節の名がそのまま入っており、</w:t>
      </w:r>
      <w:r>
        <w:rPr>
          <w:rFonts w:ascii="游ゴシック" w:hAnsi="游ゴシック" w:eastAsia="游ゴシック"/>
          <w:b/>
          <w:i w:val="0"/>
          <w:sz w:val="17"/>
        </w:rPr>
        <w:t>章の中身（文化芸術活動・スポーツ活動）と合っていません。</w:t>
      </w:r>
      <w:r>
        <w:rPr>
          <w:rFonts w:ascii="游ゴシック" w:hAnsi="游ゴシック" w:eastAsia="游ゴシック"/>
          <w:b w:val="0"/>
          <w:i w:val="0"/>
          <w:sz w:val="17"/>
        </w:rPr>
        <w:t>本計画の第10章は、3つの節（文化芸術活動の振興／スポーツ・レクリエーションの振興／地域交流・社会参加の促進）を立てます。</w:t>
      </w: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val="0"/>
          <w:i w:val="0"/>
          <w:sz w:val="21"/>
        </w:rPr>
        <w:t>前回調査及びヒアリングから、次期計画に向けた課題を次のとおり整理しました。</w:t>
      </w:r>
      <w:r>
        <w:rPr>
          <w:rFonts w:ascii="游ゴシック" w:hAnsi="游ゴシック" w:eastAsia="游ゴシック"/>
          <w:b/>
          <w:i w:val="0"/>
          <w:sz w:val="21"/>
        </w:rPr>
        <w:t>今期調査の結果を受けて確定します。</w:t>
      </w:r>
    </w:p>
    <w:p>
      <w:pPr>
        <w:keepNext/>
        <w:spacing w:before="200" w:after="40"/>
      </w:pPr>
      <w:r>
        <w:rPr>
          <w:rFonts w:ascii="游ゴシック" w:hAnsi="游ゴシック" w:eastAsia="游ゴシック"/>
          <w:b/>
          <w:i w:val="0"/>
          <w:color w:val="1F4D78"/>
          <w:sz w:val="22"/>
        </w:rPr>
        <w:t>【表17】第1部第3章　現行計画の評価と課題（6）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3515"/>
        <w:gridCol w:w="2835"/>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前回調査の結果</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3402"/>
            <w:vAlign w:val="center"/>
          </w:tcPr>
          <w:p>
            <w:pPr>
              <w:spacing w:before="20" w:after="20"/>
            </w:pPr>
            <w:r>
              <w:rPr>
                <w:rFonts w:ascii="游ゴシック" w:hAnsi="游ゴシック" w:eastAsia="游ゴシック"/>
                <w:b w:val="0"/>
                <w:i w:val="0"/>
                <w:sz w:val="17"/>
              </w:rPr>
              <w:t>地域で生活するために必要な支援（最多）</w:t>
            </w:r>
          </w:p>
        </w:tc>
        <w:tc>
          <w:tcPr>
            <w:tcW w:type="dxa" w:w="3515"/>
            <w:vAlign w:val="center"/>
          </w:tcPr>
          <w:p>
            <w:pPr>
              <w:spacing w:before="20" w:after="20"/>
            </w:pPr>
            <w:r>
              <w:rPr>
                <w:rFonts w:ascii="游ゴシック" w:hAnsi="游ゴシック" w:eastAsia="游ゴシック"/>
                <w:b w:val="0"/>
                <w:i w:val="0"/>
                <w:sz w:val="17"/>
              </w:rPr>
              <w:t>経済的な負担の軽減　54.6％</w:t>
            </w:r>
          </w:p>
        </w:tc>
        <w:tc>
          <w:tcPr>
            <w:tcW w:type="dxa" w:w="2835"/>
            <w:vAlign w:val="center"/>
          </w:tcPr>
          <w:p>
            <w:pPr>
              <w:spacing w:before="20" w:after="20"/>
            </w:pPr>
            <w:r>
              <w:rPr>
                <w:rFonts w:ascii="游ゴシック" w:hAnsi="游ゴシック" w:eastAsia="游ゴシック"/>
                <w:b w:val="0"/>
                <w:i w:val="0"/>
                <w:sz w:val="17"/>
              </w:rPr>
              <w:t>第2部第7章5</w:t>
            </w:r>
          </w:p>
        </w:tc>
      </w:tr>
      <w:tr>
        <w:tc>
          <w:tcPr>
            <w:tcW w:type="dxa" w:w="3402"/>
            <w:vAlign w:val="center"/>
          </w:tcPr>
          <w:p>
            <w:pPr>
              <w:spacing w:before="20" w:after="20"/>
            </w:pPr>
            <w:r>
              <w:rPr>
                <w:rFonts w:ascii="游ゴシック" w:hAnsi="游ゴシック" w:eastAsia="游ゴシック"/>
                <w:b w:val="0"/>
                <w:i w:val="0"/>
                <w:sz w:val="17"/>
              </w:rPr>
              <w:t>外出の目的（最多）</w:t>
            </w:r>
          </w:p>
        </w:tc>
        <w:tc>
          <w:tcPr>
            <w:tcW w:type="dxa" w:w="3515"/>
            <w:vAlign w:val="center"/>
          </w:tcPr>
          <w:p>
            <w:pPr>
              <w:spacing w:before="20" w:after="20"/>
            </w:pPr>
            <w:r>
              <w:rPr>
                <w:rFonts w:ascii="游ゴシック" w:hAnsi="游ゴシック" w:eastAsia="游ゴシック"/>
                <w:b w:val="0"/>
                <w:i w:val="0"/>
                <w:sz w:val="17"/>
              </w:rPr>
              <w:t>医療機関への受診　73.0％</w:t>
            </w:r>
          </w:p>
        </w:tc>
        <w:tc>
          <w:tcPr>
            <w:tcW w:type="dxa" w:w="2835"/>
            <w:vAlign w:val="center"/>
          </w:tcPr>
          <w:p>
            <w:pPr>
              <w:spacing w:before="20" w:after="20"/>
            </w:pPr>
            <w:r>
              <w:rPr>
                <w:rFonts w:ascii="游ゴシック" w:hAnsi="游ゴシック" w:eastAsia="游ゴシック"/>
                <w:b w:val="0"/>
                <w:i w:val="0"/>
                <w:sz w:val="17"/>
              </w:rPr>
              <w:t>第2部第6章2</w:t>
            </w:r>
          </w:p>
        </w:tc>
      </w:tr>
      <w:tr>
        <w:tc>
          <w:tcPr>
            <w:tcW w:type="dxa" w:w="3402"/>
            <w:vAlign w:val="center"/>
          </w:tcPr>
          <w:p>
            <w:pPr>
              <w:spacing w:before="20" w:after="20"/>
            </w:pPr>
            <w:r>
              <w:rPr>
                <w:rFonts w:ascii="游ゴシック" w:hAnsi="游ゴシック" w:eastAsia="游ゴシック"/>
                <w:b w:val="0"/>
                <w:i w:val="0"/>
                <w:sz w:val="17"/>
              </w:rPr>
              <w:t>在宅で医療的なケアを受けている</w:t>
            </w:r>
          </w:p>
        </w:tc>
        <w:tc>
          <w:tcPr>
            <w:tcW w:type="dxa" w:w="3515"/>
            <w:vAlign w:val="center"/>
          </w:tcPr>
          <w:p>
            <w:pPr>
              <w:spacing w:before="20" w:after="20"/>
            </w:pPr>
            <w:r>
              <w:rPr>
                <w:rFonts w:ascii="游ゴシック" w:hAnsi="游ゴシック" w:eastAsia="游ゴシック"/>
                <w:b w:val="0"/>
                <w:i w:val="0"/>
                <w:sz w:val="17"/>
              </w:rPr>
              <w:t>43.2％</w:t>
            </w:r>
          </w:p>
        </w:tc>
        <w:tc>
          <w:tcPr>
            <w:tcW w:type="dxa" w:w="2835"/>
            <w:vAlign w:val="center"/>
          </w:tcPr>
          <w:p>
            <w:pPr>
              <w:spacing w:before="20" w:after="20"/>
            </w:pPr>
            <w:r>
              <w:rPr>
                <w:rFonts w:ascii="游ゴシック" w:hAnsi="游ゴシック" w:eastAsia="游ゴシック"/>
                <w:b w:val="0"/>
                <w:i w:val="0"/>
                <w:sz w:val="17"/>
              </w:rPr>
              <w:t>第2部第6章3</w:t>
            </w:r>
          </w:p>
        </w:tc>
      </w:tr>
      <w:tr>
        <w:tc>
          <w:tcPr>
            <w:tcW w:type="dxa" w:w="3402"/>
            <w:vAlign w:val="center"/>
          </w:tcPr>
          <w:p>
            <w:pPr>
              <w:spacing w:before="20" w:after="20"/>
            </w:pPr>
            <w:r>
              <w:rPr>
                <w:rFonts w:ascii="游ゴシック" w:hAnsi="游ゴシック" w:eastAsia="游ゴシック"/>
                <w:b w:val="0"/>
                <w:i w:val="0"/>
                <w:sz w:val="17"/>
              </w:rPr>
              <w:t>相談相手</w:t>
            </w:r>
          </w:p>
        </w:tc>
        <w:tc>
          <w:tcPr>
            <w:tcW w:type="dxa" w:w="3515"/>
            <w:vAlign w:val="center"/>
          </w:tcPr>
          <w:p>
            <w:pPr>
              <w:spacing w:before="20" w:after="20"/>
            </w:pPr>
            <w:r>
              <w:rPr>
                <w:rFonts w:ascii="游ゴシック" w:hAnsi="游ゴシック" w:eastAsia="游ゴシック"/>
                <w:b w:val="0"/>
                <w:i w:val="0"/>
                <w:sz w:val="17"/>
              </w:rPr>
              <w:t>家族　79.6％／医療職　32.9％</w:t>
            </w:r>
          </w:p>
        </w:tc>
        <w:tc>
          <w:tcPr>
            <w:tcW w:type="dxa" w:w="2835"/>
            <w:vAlign w:val="center"/>
          </w:tcPr>
          <w:p>
            <w:pPr>
              <w:spacing w:before="20" w:after="20"/>
            </w:pPr>
            <w:r>
              <w:rPr>
                <w:rFonts w:ascii="游ゴシック" w:hAnsi="游ゴシック" w:eastAsia="游ゴシック"/>
                <w:b w:val="0"/>
                <w:i w:val="0"/>
                <w:sz w:val="17"/>
              </w:rPr>
              <w:t>第2部第7章1</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3515"/>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個別避難計画の作成を希望する</w:t>
            </w:r>
          </w:p>
        </w:tc>
        <w:tc>
          <w:tcPr>
            <w:tcW w:type="dxa" w:w="3515"/>
            <w:vAlign w:val="center"/>
          </w:tcPr>
          <w:p>
            <w:pPr>
              <w:spacing w:before="20" w:after="20"/>
            </w:pPr>
            <w:r>
              <w:rPr>
                <w:rFonts w:ascii="游ゴシック" w:hAnsi="游ゴシック" w:eastAsia="游ゴシック"/>
                <w:b w:val="0"/>
                <w:i w:val="0"/>
                <w:sz w:val="17"/>
              </w:rPr>
              <w:t>30.7％／40.9％（同上の別）</w:t>
            </w:r>
          </w:p>
        </w:tc>
        <w:tc>
          <w:tcPr>
            <w:tcW w:type="dxa" w:w="2835"/>
            <w:vAlign w:val="center"/>
          </w:tcPr>
          <w:p>
            <w:pPr>
              <w:spacing w:before="20" w:after="20"/>
            </w:pPr>
            <w:r>
              <w:rPr>
                <w:rFonts w:ascii="游ゴシック" w:hAnsi="游ゴシック" w:eastAsia="游ゴシック"/>
                <w:b w:val="0"/>
                <w:i w:val="0"/>
                <w:sz w:val="17"/>
              </w:rPr>
              <w:t>第2部第5章1</w:t>
            </w:r>
          </w:p>
        </w:tc>
      </w:tr>
      <w:tr>
        <w:tc>
          <w:tcPr>
            <w:tcW w:type="dxa" w:w="3402"/>
            <w:vAlign w:val="center"/>
          </w:tcPr>
          <w:p>
            <w:pPr>
              <w:spacing w:before="20" w:after="20"/>
            </w:pPr>
            <w:r>
              <w:rPr>
                <w:rFonts w:ascii="游ゴシック" w:hAnsi="游ゴシック" w:eastAsia="游ゴシック"/>
                <w:b w:val="0"/>
                <w:i w:val="0"/>
                <w:sz w:val="17"/>
              </w:rPr>
              <w:t>投薬・治療が受けられない不安</w:t>
            </w:r>
          </w:p>
        </w:tc>
        <w:tc>
          <w:tcPr>
            <w:tcW w:type="dxa" w:w="3515"/>
            <w:vAlign w:val="center"/>
          </w:tcPr>
          <w:p>
            <w:pPr>
              <w:spacing w:before="20" w:after="20"/>
            </w:pPr>
            <w:r>
              <w:rPr>
                <w:rFonts w:ascii="游ゴシック" w:hAnsi="游ゴシック" w:eastAsia="游ゴシック"/>
                <w:b w:val="0"/>
                <w:i w:val="0"/>
                <w:sz w:val="17"/>
              </w:rPr>
              <w:t>50.7％</w:t>
            </w:r>
          </w:p>
        </w:tc>
        <w:tc>
          <w:tcPr>
            <w:tcW w:type="dxa" w:w="2835"/>
            <w:vAlign w:val="center"/>
          </w:tcPr>
          <w:p>
            <w:pPr>
              <w:spacing w:before="20" w:after="20"/>
            </w:pPr>
            <w:r>
              <w:rPr>
                <w:rFonts w:ascii="游ゴシック" w:hAnsi="游ゴシック" w:eastAsia="游ゴシック"/>
                <w:b w:val="0"/>
                <w:i w:val="0"/>
                <w:sz w:val="17"/>
              </w:rPr>
              <w:t>第2部第5章1・第6章2</w:t>
            </w:r>
          </w:p>
        </w:tc>
      </w:tr>
      <w:tr>
        <w:tc>
          <w:tcPr>
            <w:tcW w:type="dxa" w:w="3402"/>
            <w:vAlign w:val="center"/>
          </w:tcPr>
          <w:p>
            <w:pPr>
              <w:spacing w:before="20" w:after="20"/>
            </w:pPr>
            <w:r>
              <w:rPr>
                <w:rFonts w:ascii="游ゴシック" w:hAnsi="游ゴシック" w:eastAsia="游ゴシック"/>
                <w:b w:val="0"/>
                <w:i w:val="0"/>
                <w:sz w:val="17"/>
              </w:rPr>
              <w:t>主介助者が70歳以上</w:t>
            </w:r>
          </w:p>
        </w:tc>
        <w:tc>
          <w:tcPr>
            <w:tcW w:type="dxa" w:w="3515"/>
            <w:vAlign w:val="center"/>
          </w:tcPr>
          <w:p>
            <w:pPr>
              <w:spacing w:before="20" w:after="20"/>
            </w:pPr>
            <w:r>
              <w:rPr>
                <w:rFonts w:ascii="游ゴシック" w:hAnsi="游ゴシック" w:eastAsia="游ゴシック"/>
                <w:b w:val="0"/>
                <w:i w:val="0"/>
                <w:sz w:val="17"/>
              </w:rPr>
              <w:t>35.6％</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主介助者の健康状態が「よくない」</w:t>
            </w:r>
          </w:p>
        </w:tc>
        <w:tc>
          <w:tcPr>
            <w:tcW w:type="dxa" w:w="3515"/>
            <w:vAlign w:val="center"/>
          </w:tcPr>
          <w:p>
            <w:pPr>
              <w:spacing w:before="20" w:after="20"/>
            </w:pPr>
            <w:r>
              <w:rPr>
                <w:rFonts w:ascii="游ゴシック" w:hAnsi="游ゴシック" w:eastAsia="游ゴシック"/>
                <w:b w:val="0"/>
                <w:i w:val="0"/>
                <w:sz w:val="17"/>
              </w:rPr>
              <w:t>19.8％</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障がい児の主介助者が女性</w:t>
            </w:r>
          </w:p>
        </w:tc>
        <w:tc>
          <w:tcPr>
            <w:tcW w:type="dxa" w:w="3515"/>
            <w:vAlign w:val="center"/>
          </w:tcPr>
          <w:p>
            <w:pPr>
              <w:spacing w:before="20" w:after="20"/>
            </w:pPr>
            <w:r>
              <w:rPr>
                <w:rFonts w:ascii="游ゴシック" w:hAnsi="游ゴシック" w:eastAsia="游ゴシック"/>
                <w:b w:val="0"/>
                <w:i w:val="0"/>
                <w:sz w:val="17"/>
              </w:rPr>
              <w:t>94.1％</w:t>
            </w:r>
          </w:p>
        </w:tc>
        <w:tc>
          <w:tcPr>
            <w:tcW w:type="dxa" w:w="2835"/>
            <w:vAlign w:val="center"/>
          </w:tcPr>
          <w:p>
            <w:pPr>
              <w:spacing w:before="20" w:after="20"/>
            </w:pPr>
            <w:r>
              <w:rPr>
                <w:rFonts w:ascii="游ゴシック" w:hAnsi="游ゴシック" w:eastAsia="游ゴシック"/>
                <w:b w:val="0"/>
                <w:i w:val="0"/>
                <w:sz w:val="17"/>
              </w:rPr>
              <w:t>第2部第7章4</w:t>
            </w:r>
          </w:p>
        </w:tc>
      </w:tr>
      <w:tr>
        <w:tc>
          <w:tcPr>
            <w:tcW w:type="dxa" w:w="3402"/>
            <w:vAlign w:val="center"/>
          </w:tcPr>
          <w:p>
            <w:pPr>
              <w:spacing w:before="20" w:after="20"/>
            </w:pPr>
            <w:r>
              <w:rPr>
                <w:rFonts w:ascii="游ゴシック" w:hAnsi="游ゴシック" w:eastAsia="游ゴシック"/>
                <w:b w:val="0"/>
                <w:i w:val="0"/>
                <w:sz w:val="17"/>
              </w:rPr>
              <w:t>成年後見制度を「名前も内容も知らない」</w:t>
            </w:r>
          </w:p>
        </w:tc>
        <w:tc>
          <w:tcPr>
            <w:tcW w:type="dxa" w:w="3515"/>
            <w:vAlign w:val="center"/>
          </w:tcPr>
          <w:p>
            <w:pPr>
              <w:spacing w:before="20" w:after="20"/>
            </w:pPr>
            <w:r>
              <w:rPr>
                <w:rFonts w:ascii="游ゴシック" w:hAnsi="游ゴシック" w:eastAsia="游ゴシック"/>
                <w:b w:val="0"/>
                <w:i w:val="0"/>
                <w:sz w:val="17"/>
              </w:rPr>
              <w:t>約4割</w:t>
            </w:r>
          </w:p>
        </w:tc>
        <w:tc>
          <w:tcPr>
            <w:tcW w:type="dxa" w:w="2835"/>
            <w:vAlign w:val="center"/>
          </w:tcPr>
          <w:p>
            <w:pPr>
              <w:spacing w:before="20" w:after="20"/>
            </w:pPr>
            <w:r>
              <w:rPr>
                <w:rFonts w:ascii="游ゴシック" w:hAnsi="游ゴシック" w:eastAsia="游ゴシック"/>
                <w:b w:val="0"/>
                <w:i w:val="0"/>
                <w:sz w:val="17"/>
              </w:rPr>
              <w:t>第2部第2章1</w:t>
            </w:r>
          </w:p>
        </w:tc>
      </w:tr>
      <w:tr>
        <w:tc>
          <w:tcPr>
            <w:tcW w:type="dxa" w:w="3402"/>
            <w:vAlign w:val="center"/>
          </w:tcPr>
          <w:p>
            <w:pPr>
              <w:spacing w:before="20" w:after="20"/>
            </w:pPr>
            <w:r>
              <w:rPr>
                <w:rFonts w:ascii="游ゴシック" w:hAnsi="游ゴシック" w:eastAsia="游ゴシック"/>
                <w:b w:val="0"/>
                <w:i w:val="0"/>
                <w:sz w:val="17"/>
              </w:rPr>
              <w:t>差別や嫌な思いの経験</w:t>
            </w:r>
          </w:p>
        </w:tc>
        <w:tc>
          <w:tcPr>
            <w:tcW w:type="dxa" w:w="3515"/>
            <w:vAlign w:val="center"/>
          </w:tcPr>
          <w:p>
            <w:pPr>
              <w:spacing w:before="20" w:after="20"/>
            </w:pPr>
            <w:r>
              <w:rPr>
                <w:rFonts w:ascii="游ゴシック" w:hAnsi="游ゴシック" w:eastAsia="游ゴシック"/>
                <w:b w:val="0"/>
                <w:i w:val="0"/>
                <w:sz w:val="17"/>
              </w:rPr>
              <w:t>障がいのある方　約3割／障がいのある子ども　約7割／精神障がいのある方　約6割</w:t>
            </w:r>
          </w:p>
        </w:tc>
        <w:tc>
          <w:tcPr>
            <w:tcW w:type="dxa" w:w="2835"/>
            <w:vAlign w:val="center"/>
          </w:tcPr>
          <w:p>
            <w:pPr>
              <w:spacing w:before="20" w:after="20"/>
            </w:pPr>
            <w:r>
              <w:rPr>
                <w:rFonts w:ascii="游ゴシック" w:hAnsi="游ゴシック" w:eastAsia="游ゴシック"/>
                <w:b w:val="0"/>
                <w:i w:val="0"/>
                <w:sz w:val="17"/>
              </w:rPr>
              <w:t>第2部第2章2</w:t>
            </w:r>
          </w:p>
        </w:tc>
      </w:tr>
      <w:tr>
        <w:tc>
          <w:tcPr>
            <w:tcW w:type="dxa" w:w="3402"/>
            <w:vAlign w:val="center"/>
          </w:tcPr>
          <w:p>
            <w:pPr>
              <w:spacing w:before="20" w:after="20"/>
            </w:pPr>
            <w:r>
              <w:rPr>
                <w:rFonts w:ascii="游ゴシック" w:hAnsi="游ゴシック" w:eastAsia="游ゴシック"/>
                <w:b w:val="0"/>
                <w:i w:val="0"/>
                <w:sz w:val="17"/>
              </w:rPr>
              <w:t>外出時の困りごと（精神障がいのある方の費用）</w:t>
            </w:r>
          </w:p>
        </w:tc>
        <w:tc>
          <w:tcPr>
            <w:tcW w:type="dxa" w:w="3515"/>
            <w:vAlign w:val="center"/>
          </w:tcPr>
          <w:p>
            <w:pPr>
              <w:spacing w:before="20" w:after="20"/>
            </w:pPr>
            <w:r>
              <w:rPr>
                <w:rFonts w:ascii="游ゴシック" w:hAnsi="游ゴシック" w:eastAsia="游ゴシック"/>
                <w:b w:val="0"/>
                <w:i w:val="0"/>
                <w:sz w:val="17"/>
              </w:rPr>
              <w:t>44.1％</w:t>
            </w:r>
          </w:p>
        </w:tc>
        <w:tc>
          <w:tcPr>
            <w:tcW w:type="dxa" w:w="2835"/>
            <w:vAlign w:val="center"/>
          </w:tcPr>
          <w:p>
            <w:pPr>
              <w:spacing w:before="20" w:after="20"/>
            </w:pPr>
            <w:r>
              <w:rPr>
                <w:rFonts w:ascii="游ゴシック" w:hAnsi="游ゴシック" w:eastAsia="游ゴシック"/>
                <w:b w:val="0"/>
                <w:i w:val="0"/>
                <w:sz w:val="17"/>
              </w:rPr>
              <w:t>第2部第3章2</w:t>
            </w:r>
          </w:p>
        </w:tc>
      </w:tr>
      <w:tr>
        <w:tc>
          <w:tcPr>
            <w:tcW w:type="dxa" w:w="3402"/>
            <w:vAlign w:val="center"/>
          </w:tcPr>
          <w:p>
            <w:pPr>
              <w:spacing w:before="20" w:after="20"/>
            </w:pPr>
            <w:r>
              <w:rPr>
                <w:rFonts w:ascii="游ゴシック" w:hAnsi="游ゴシック" w:eastAsia="游ゴシック"/>
                <w:b w:val="0"/>
                <w:i w:val="0"/>
                <w:sz w:val="17"/>
              </w:rPr>
              <w:t>障がい児の今後の利用意向</w:t>
            </w:r>
          </w:p>
        </w:tc>
        <w:tc>
          <w:tcPr>
            <w:tcW w:type="dxa" w:w="3515"/>
            <w:vAlign w:val="center"/>
          </w:tcPr>
          <w:p>
            <w:pPr>
              <w:spacing w:before="20" w:after="20"/>
            </w:pPr>
            <w:r>
              <w:rPr>
                <w:rFonts w:ascii="游ゴシック" w:hAnsi="游ゴシック" w:eastAsia="游ゴシック"/>
                <w:b w:val="0"/>
                <w:i w:val="0"/>
                <w:sz w:val="17"/>
              </w:rPr>
              <w:t>就労系　63.6％／放課後等デイサービス　63.6％</w:t>
            </w:r>
          </w:p>
        </w:tc>
        <w:tc>
          <w:tcPr>
            <w:tcW w:type="dxa" w:w="2835"/>
            <w:vAlign w:val="center"/>
          </w:tcPr>
          <w:p>
            <w:pPr>
              <w:spacing w:before="20" w:after="20"/>
            </w:pPr>
            <w:r>
              <w:rPr>
                <w:rFonts w:ascii="游ゴシック" w:hAnsi="游ゴシック" w:eastAsia="游ゴシック"/>
                <w:b w:val="0"/>
                <w:i w:val="0"/>
                <w:sz w:val="17"/>
              </w:rPr>
              <w:t>第2部第8章4・第9章1</w:t>
            </w:r>
          </w:p>
        </w:tc>
      </w:tr>
      <w:tr>
        <w:tc>
          <w:tcPr>
            <w:tcW w:type="dxa" w:w="3402"/>
            <w:vAlign w:val="center"/>
          </w:tcPr>
          <w:p>
            <w:pPr>
              <w:spacing w:before="20" w:after="20"/>
            </w:pPr>
            <w:r>
              <w:rPr>
                <w:rFonts w:ascii="游ゴシック" w:hAnsi="游ゴシック" w:eastAsia="游ゴシック"/>
                <w:b w:val="0"/>
                <w:i w:val="0"/>
                <w:sz w:val="17"/>
              </w:rPr>
              <w:t>障がい児の進路希望（最多）</w:t>
            </w:r>
          </w:p>
        </w:tc>
        <w:tc>
          <w:tcPr>
            <w:tcW w:type="dxa" w:w="3515"/>
            <w:vAlign w:val="center"/>
          </w:tcPr>
          <w:p>
            <w:pPr>
              <w:spacing w:before="20" w:after="20"/>
            </w:pPr>
            <w:r>
              <w:rPr>
                <w:rFonts w:ascii="游ゴシック" w:hAnsi="游ゴシック" w:eastAsia="游ゴシック"/>
                <w:b w:val="0"/>
                <w:i w:val="0"/>
                <w:sz w:val="17"/>
              </w:rPr>
              <w:t>特別支援学校高等部　45.0％</w:t>
            </w:r>
          </w:p>
        </w:tc>
        <w:tc>
          <w:tcPr>
            <w:tcW w:type="dxa" w:w="2835"/>
            <w:vAlign w:val="center"/>
          </w:tcPr>
          <w:p>
            <w:pPr>
              <w:spacing w:before="20" w:after="20"/>
            </w:pPr>
            <w:r>
              <w:rPr>
                <w:rFonts w:ascii="游ゴシック" w:hAnsi="游ゴシック" w:eastAsia="游ゴシック"/>
                <w:b w:val="0"/>
                <w:i w:val="0"/>
                <w:sz w:val="17"/>
              </w:rPr>
              <w:t>第2部第8章4</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資料：おのまち障がい者基本計画・第7期障がい福祉計画・第3期障がい児福祉計画（令和6年3月）策定時の調査。</w:t>
      </w:r>
      <w:r>
        <w:rPr>
          <w:rFonts w:ascii="游ゴシック" w:hAnsi="游ゴシック" w:eastAsia="游ゴシック"/>
          <w:b/>
          <w:i w:val="0"/>
          <w:sz w:val="17"/>
        </w:rPr>
        <w:t>今期調査の結果は【町データ待ち】であり、受領後に本表を今期の値に置き換えます。</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【表18】第2部　おのまち障がい者計画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前回調査では、差別や嫌な思いを経験した方が障がいのある方で約3割、障がいのある子どもで約7割、精神障がいのある方で約6割に上ります。</w:t>
      </w:r>
      <w:r>
        <w:rPr>
          <w:rFonts w:ascii="游ゴシック" w:hAnsi="游ゴシック" w:eastAsia="游ゴシック"/>
          <w:b/>
          <w:i w:val="0"/>
          <w:sz w:val="21"/>
        </w:rPr>
        <w:t>障害者差別解消法の認知は、とりわけ障がいのある子どもで低い</w:t>
      </w:r>
      <w:r>
        <w:rPr>
          <w:rFonts w:ascii="游ゴシック" w:hAnsi="游ゴシック" w:eastAsia="游ゴシック"/>
          <w:b w:val="0"/>
          <w:i w:val="0"/>
          <w:sz w:val="21"/>
        </w:rPr>
        <w:t>状況です。成年後見制度を「名前も内容も知らない」方は約4割です。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差別や嫌な思いの経験が約7割と最も高い一方、法の認知が最も低い層です。学校を通じた周知を行います。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【表19】第2部第2章　差別解消・権利擁護の推進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外出時の困りごととして、段差、公共交通の少なさ、費用が挙げられています（費用は精神障がいのある方で44.1％）。</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外出の目的の最多は医療機関への受診（73.0％）であり、通院の支援と切り離せません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・小野町地域公共交通計画と整合を図り、町営バス・デマンド型交通の利用しやすさを高めます。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（精神障がいのある方で44.1％）ことを踏まえます。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【表20】第2部第3章　安全・安心な生活環境の整備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【表21】第2部第4章　情報アクセシビリティの向上及び意思疎通支援の充実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災害時に一人で避難できない方は、障がいのある方で35.4％、障がいのある子どもで54.5％です。</w:t>
      </w:r>
      <w:r>
        <w:rPr>
          <w:rFonts w:ascii="游ゴシック" w:hAnsi="游ゴシック" w:eastAsia="游ゴシック"/>
          <w:b w:val="0"/>
          <w:i w:val="0"/>
          <w:sz w:val="21"/>
        </w:rPr>
        <w:t>個別避難計画の作成を希望する方は30.7％・40.9％、投薬・治療が受けられない不安を挙げた方は50.7％でした。</w:t>
      </w:r>
      <w:r>
        <w:rPr>
          <w:rFonts w:ascii="游ゴシック" w:hAnsi="游ゴシック" w:eastAsia="游ゴシック"/>
          <w:b/>
          <w:i w:val="0"/>
          <w:sz w:val="21"/>
        </w:rPr>
        <w:t>成人と児童で課題の性質が異なります。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【表22】第2部第5章　防犯・防災の推進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精神障害者保健福祉手帳の所持者が45人（令和5年）から60人（令和8年）に増えています。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前回計画では、精神障がいにも対応した地域包括ケアシステムに数値目標を置いていませんでした。外出の目的の最多は医療機関への受診（73.0％）で、在宅で医療的なケアを受けている方が43.2％です。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医療的ケア児支援法の改正（令和8年法律第77号・令和9年4月1日施行）により、支援の対象に18歳以上の医療的ケア児等と重症心身障害者が加わりました。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【表23】第2部第6章　保健・医療の充実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前回調査で「地域で生活するために必要な支援」の最多は</w:t>
      </w:r>
      <w:r>
        <w:rPr>
          <w:rFonts w:ascii="游ゴシック" w:hAnsi="游ゴシック" w:eastAsia="游ゴシック"/>
          <w:b/>
          <w:i w:val="0"/>
          <w:sz w:val="21"/>
        </w:rPr>
        <w:t>経済的な負担の軽減（54.6％）</w:t>
      </w:r>
      <w:r>
        <w:rPr>
          <w:rFonts w:ascii="游ゴシック" w:hAnsi="游ゴシック" w:eastAsia="游ゴシック"/>
          <w:b w:val="0"/>
          <w:i w:val="0"/>
          <w:sz w:val="21"/>
        </w:rPr>
        <w:t>でした。相談相手は家族79.6％・医療職32.9％に偏っています。主介助者の70歳以上が35.6％、健康状態が「よくない」方が19.8％、障がいのある子どもでは主介助者の94.1％が女性です。</w:t>
      </w:r>
      <w:r>
        <w:rPr>
          <w:rFonts w:ascii="游ゴシック" w:hAnsi="游ゴシック" w:eastAsia="游ゴシック"/>
          <w:b/>
          <w:i w:val="0"/>
          <w:sz w:val="21"/>
        </w:rPr>
        <w:t>相談支援専門員の確保が課題で、望まないセルフプランの発生が懸念されます。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相談相手が家族（79.6％）に偏っている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を見据えた住まいと支援の確保を進めます。主介助者の70歳以上が35.6％である現状は、この課題が先の話ではないことを示しています。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【表24】第2部第7章　自立生活支援・相談支援体制の充実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障がいのある子どもの進路希望は特別支援学校高等部が45.0％で最多です。今後の利用意向は就労系63.6％・放課後等デイサービス63.6％でした。</w:t>
      </w:r>
      <w:r>
        <w:rPr>
          <w:rFonts w:ascii="游ゴシック" w:hAnsi="游ゴシック" w:eastAsia="游ゴシック"/>
          <w:b/>
          <w:i w:val="0"/>
          <w:sz w:val="21"/>
        </w:rPr>
        <w:t>町内に療育機関がなく、町外への通所となっています。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障がいのある子どもの差別の経験が約7割</w:t>
      </w:r>
      <w:r>
        <w:rPr>
          <w:rFonts w:ascii="游ゴシック" w:hAnsi="游ゴシック" w:eastAsia="游ゴシック"/>
          <w:b w:val="0"/>
          <w:i w:val="0"/>
          <w:sz w:val="21"/>
        </w:rPr>
        <w:t>と最も高いことを踏まえ、学校における理解の促進を図ります（第2章2）。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【表25】第2部第8章　教育の振興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令和9年4月からは、新たに就労継続支援Ａ型を利用する方と、就労移行支援の標準利用期間を超えて利用する方も、就労選択支援により課題が把握されていることが利用の前提となる予定です</w:t>
      </w:r>
      <w:r>
        <w:rPr>
          <w:rFonts w:ascii="游ゴシック" w:hAnsi="游ゴシック" w:eastAsia="游ゴシック"/>
          <w:b w:val="0"/>
          <w:i w:val="0"/>
          <w:sz w:val="21"/>
        </w:rPr>
        <w:t>（第160回社会保障審議会障害者部会 資料1、令和8年10月20日）。就労選択支援の見込量には、Ａ型の新規利用の見込みを加えます（第3部第2章。Ａ型の新規利用の見込みは【町データ待ち】）。</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【表26】第2部第9章　雇用・就業、経済的自立の支援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【表27】第2部第10章　文化芸術活動・スポーツ等の振興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【表28】第3部第1章　成果目標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i w:val="0"/>
                <w:sz w:val="17"/>
              </w:rPr>
              <w:t>令和4年度末26人に対し、移行31人（119.2％）・削減22人（84.6％）</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r>
              <w:rPr>
                <w:rFonts w:ascii="游ゴシック" w:hAnsi="游ゴシック" w:eastAsia="游ゴシック"/>
                <w:b/>
                <w:i w:val="0"/>
                <w:sz w:val="17"/>
              </w:rPr>
              <w:t>前回計画の目標値は成り立たない（下記）</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障害福祉サービス等の質の向上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医療的ケア児支援法の改正を踏まえ、成人期（18歳以上の医療的ケア児等・重症心身障害者）を含む構えで設定。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⑧は、医療的ケア児支援法の改正により、支援の対象に18歳以上の医療的ケア児等と重症心身障害者が加わったことを踏まえた構えとします。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pStyle w:val="Heading3"/>
        <w:keepNext/>
        <w:spacing w:before="180" w:after="80"/>
      </w:pPr>
      <w:r>
        <w:rPr>
          <w:rFonts w:ascii="游ゴシック" w:hAnsi="游ゴシック" w:eastAsia="游ゴシック"/>
          <w:b/>
          <w:i w:val="0"/>
          <w:color w:val="1F4D78"/>
          <w:sz w:val="22"/>
        </w:rPr>
        <w:t>1-1　前回計画の成果目標①は成り立ちません</w:t>
      </w:r>
    </w:p>
    <w:p>
      <w:pPr>
        <w:spacing w:before="60" w:after="60"/>
      </w:pPr>
      <w:r>
        <w:rPr>
          <w:rFonts w:ascii="游ゴシック" w:hAnsi="游ゴシック" w:eastAsia="游ゴシック"/>
          <w:b/>
          <w:i w:val="0"/>
          <w:sz w:val="21"/>
        </w:rPr>
        <w:t>前回計画（第7期）は、施設入所者の地域生活移行の目標を次のように定めています。</w:t>
      </w:r>
    </w:p>
    <w:p>
      <w:pPr>
        <w:keepNext/>
        <w:spacing w:before="200" w:after="40"/>
      </w:pPr>
      <w:r>
        <w:rPr>
          <w:rFonts w:ascii="游ゴシック" w:hAnsi="游ゴシック" w:eastAsia="游ゴシック"/>
          <w:b/>
          <w:i w:val="0"/>
          <w:color w:val="1F4D78"/>
          <w:sz w:val="22"/>
        </w:rPr>
        <w:t>【表29】第3部第1章　成果目標（2）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474"/>
        <w:gridCol w:w="1587"/>
        <w:gridCol w:w="3288"/>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前回計画の値</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26人に対する割合</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3402"/>
            <w:vAlign w:val="center"/>
          </w:tcPr>
          <w:p>
            <w:pPr>
              <w:spacing w:before="20" w:after="20"/>
            </w:pPr>
            <w:r>
              <w:rPr>
                <w:rFonts w:ascii="游ゴシック" w:hAnsi="游ゴシック" w:eastAsia="游ゴシック"/>
                <w:b w:val="0"/>
                <w:i w:val="0"/>
                <w:sz w:val="17"/>
              </w:rPr>
              <w:t>令和4年度末の施設入所者数</w:t>
            </w:r>
          </w:p>
        </w:tc>
        <w:tc>
          <w:tcPr>
            <w:tcW w:type="dxa" w:w="1474"/>
            <w:vAlign w:val="center"/>
          </w:tcPr>
          <w:p>
            <w:pPr>
              <w:spacing w:before="20" w:after="20"/>
            </w:pPr>
            <w:r>
              <w:rPr>
                <w:rFonts w:ascii="游ゴシック" w:hAnsi="游ゴシック" w:eastAsia="游ゴシック"/>
                <w:b/>
                <w:i w:val="0"/>
                <w:sz w:val="17"/>
              </w:rPr>
              <w:t>26人</w:t>
            </w:r>
          </w:p>
        </w:tc>
        <w:tc>
          <w:tcPr>
            <w:tcW w:type="dxa" w:w="1587"/>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val="0"/>
                <w:i w:val="0"/>
                <w:sz w:val="17"/>
              </w:rPr>
              <w:t>基準となる人数</w:t>
            </w:r>
          </w:p>
        </w:tc>
      </w:tr>
      <w:tr>
        <w:tc>
          <w:tcPr>
            <w:tcW w:type="dxa" w:w="3402"/>
            <w:vAlign w:val="center"/>
          </w:tcPr>
          <w:p>
            <w:pPr>
              <w:keepNext/>
              <w:spacing w:before="20" w:after="20"/>
            </w:pPr>
            <w:r>
              <w:rPr>
                <w:rFonts w:ascii="游ゴシック" w:hAnsi="游ゴシック" w:eastAsia="游ゴシック"/>
                <w:b w:val="0"/>
                <w:i w:val="0"/>
                <w:sz w:val="17"/>
              </w:rPr>
              <w:t>【目標値】令和8年度末の地域生活移行者数</w:t>
            </w:r>
          </w:p>
        </w:tc>
        <w:tc>
          <w:tcPr>
            <w:tcW w:type="dxa" w:w="1474"/>
            <w:vAlign w:val="center"/>
          </w:tcPr>
          <w:p>
            <w:pPr>
              <w:keepNext/>
              <w:spacing w:before="20" w:after="20"/>
            </w:pPr>
            <w:r>
              <w:rPr>
                <w:rFonts w:ascii="游ゴシック" w:hAnsi="游ゴシック" w:eastAsia="游ゴシック"/>
                <w:b/>
                <w:i w:val="0"/>
                <w:sz w:val="17"/>
              </w:rPr>
              <w:t>31人</w:t>
            </w:r>
          </w:p>
        </w:tc>
        <w:tc>
          <w:tcPr>
            <w:tcW w:type="dxa" w:w="1587"/>
            <w:vAlign w:val="center"/>
          </w:tcPr>
          <w:p>
            <w:pPr>
              <w:keepNext/>
              <w:spacing w:before="20" w:after="20"/>
            </w:pPr>
            <w:r>
              <w:rPr>
                <w:rFonts w:ascii="游ゴシック" w:hAnsi="游ゴシック" w:eastAsia="游ゴシック"/>
                <w:b/>
                <w:i w:val="0"/>
                <w:sz w:val="17"/>
              </w:rPr>
              <w:t>119.2％</w:t>
            </w:r>
          </w:p>
        </w:tc>
        <w:tc>
          <w:tcPr>
            <w:tcW w:type="dxa" w:w="3288"/>
            <w:vAlign w:val="center"/>
          </w:tcPr>
          <w:p>
            <w:pPr>
              <w:keepNext/>
              <w:spacing w:before="20" w:after="20"/>
            </w:pPr>
            <w:r>
              <w:rPr>
                <w:rFonts w:ascii="游ゴシック" w:hAnsi="游ゴシック" w:eastAsia="游ゴシック"/>
                <w:b/>
                <w:i w:val="0"/>
                <w:sz w:val="17"/>
              </w:rPr>
              <w:t>入所者26人より多い人数が移行することはできません</w:t>
            </w:r>
          </w:p>
        </w:tc>
      </w:tr>
      <w:tr>
        <w:tc>
          <w:tcPr>
            <w:tcW w:type="dxa" w:w="3402"/>
            <w:vAlign w:val="center"/>
          </w:tcPr>
          <w:p>
            <w:pPr>
              <w:spacing w:before="20" w:after="20"/>
            </w:pPr>
            <w:r>
              <w:rPr>
                <w:rFonts w:ascii="游ゴシック" w:hAnsi="游ゴシック" w:eastAsia="游ゴシック"/>
                <w:b w:val="0"/>
                <w:i w:val="0"/>
                <w:sz w:val="17"/>
              </w:rPr>
              <w:t>【目標値】令和8年度末の削減見込者数</w:t>
            </w:r>
          </w:p>
        </w:tc>
        <w:tc>
          <w:tcPr>
            <w:tcW w:type="dxa" w:w="1474"/>
            <w:vAlign w:val="center"/>
          </w:tcPr>
          <w:p>
            <w:pPr>
              <w:spacing w:before="20" w:after="20"/>
            </w:pPr>
            <w:r>
              <w:rPr>
                <w:rFonts w:ascii="游ゴシック" w:hAnsi="游ゴシック" w:eastAsia="游ゴシック"/>
                <w:b/>
                <w:i w:val="0"/>
                <w:sz w:val="17"/>
              </w:rPr>
              <w:t>22人</w:t>
            </w:r>
          </w:p>
        </w:tc>
        <w:tc>
          <w:tcPr>
            <w:tcW w:type="dxa" w:w="1587"/>
            <w:vAlign w:val="center"/>
          </w:tcPr>
          <w:p>
            <w:pPr>
              <w:spacing w:before="20" w:after="20"/>
            </w:pPr>
            <w:r>
              <w:rPr>
                <w:rFonts w:ascii="游ゴシック" w:hAnsi="游ゴシック" w:eastAsia="游ゴシック"/>
                <w:b/>
                <w:i w:val="0"/>
                <w:sz w:val="17"/>
              </w:rPr>
              <w:t>84.6％</w:t>
            </w:r>
          </w:p>
        </w:tc>
        <w:tc>
          <w:tcPr>
            <w:tcW w:type="dxa" w:w="3288"/>
            <w:vAlign w:val="center"/>
          </w:tcPr>
          <w:p>
            <w:pPr>
              <w:spacing w:before="20" w:after="20"/>
            </w:pPr>
            <w:r>
              <w:rPr>
                <w:rFonts w:ascii="游ゴシック" w:hAnsi="游ゴシック" w:eastAsia="游ゴシック"/>
                <w:b/>
                <w:i w:val="0"/>
                <w:sz w:val="17"/>
              </w:rPr>
              <w:t>削減後は4人。しかし同じ計画の見込量は施設入所支援15人です</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w:t>
      </w:r>
      <w:r>
        <w:rPr>
          <w:rFonts w:ascii="游ゴシック" w:hAnsi="游ゴシック" w:eastAsia="游ゴシック"/>
          <w:b/>
          <w:i w:val="0"/>
          <w:sz w:val="17"/>
        </w:rPr>
        <w:t>国の基本指針は「令和4年度末時点の施設入所者の6％以上が令和8年度末までに地域生活へ移行」「令和8年度末時点の施設入所者を令和4年度末時点から5％以上削減」としています。</w:t>
      </w:r>
      <w:r>
        <w:rPr>
          <w:rFonts w:ascii="游ゴシック" w:hAnsi="游ゴシック" w:eastAsia="游ゴシック"/>
          <w:b w:val="0"/>
          <w:i w:val="0"/>
          <w:sz w:val="17"/>
        </w:rPr>
        <w:t>26人に当てはめると、</w:t>
      </w:r>
      <w:r>
        <w:rPr>
          <w:rFonts w:ascii="游ゴシック" w:hAnsi="游ゴシック" w:eastAsia="游ゴシック"/>
          <w:b/>
          <w:i w:val="0"/>
          <w:sz w:val="17"/>
        </w:rPr>
        <w:t>移行は1.56人（2人）、削減は1.30人（2人）</w:t>
      </w:r>
      <w:r>
        <w:rPr>
          <w:rFonts w:ascii="游ゴシック" w:hAnsi="游ゴシック" w:eastAsia="游ゴシック"/>
          <w:b w:val="0"/>
          <w:i w:val="0"/>
          <w:sz w:val="17"/>
        </w:rPr>
        <w:t>です。</w:t>
      </w:r>
    </w:p>
    <w:p>
      <w:pPr>
        <w:spacing w:after="120"/>
      </w:pPr>
    </w:p>
    <w:p>
      <w:pPr>
        <w:spacing w:before="60" w:after="60"/>
      </w:pPr>
      <w:r>
        <w:rPr>
          <w:rFonts w:ascii="游ゴシック" w:hAnsi="游ゴシック" w:eastAsia="游ゴシック"/>
          <w:b/>
          <w:i w:val="0"/>
          <w:sz w:val="21"/>
        </w:rPr>
        <w:t>第8期は、令和7年度末の確定値を基準に、国の考え方に当てはめて設定します。</w:t>
      </w:r>
      <w:r>
        <w:rPr>
          <w:rFonts w:ascii="游ゴシック" w:hAnsi="游ゴシック" w:eastAsia="游ゴシック"/>
          <w:b/>
          <w:i w:val="0"/>
          <w:sz w:val="21"/>
        </w:rPr>
        <w:t>成果目標と見込量（第2章）が互いに矛盾しないことを、設定のつど確かめます。</w:t>
      </w:r>
      <w:r>
        <w:rPr>
          <w:rFonts w:ascii="游ゴシック" w:hAnsi="游ゴシック" w:eastAsia="游ゴシック"/>
          <w:b w:val="0"/>
          <w:i w:val="0"/>
          <w:sz w:val="21"/>
        </w:rPr>
        <w:t>前回計画の目標値の由来は町に確かめています（【町データ待ち】）。</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【表30】第3部第1章　成果目標（3）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数値は【算定後に記載】です。</w:t>
      </w:r>
    </w:p>
    <w:p>
      <w:pPr>
        <w:spacing w:before="60" w:after="60"/>
      </w:pP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【表31】第3部第2章　活動指標・サービス見込量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r>
              <w:rPr>
                <w:rFonts w:ascii="游ゴシック" w:hAnsi="游ゴシック" w:eastAsia="游ゴシック"/>
                <w:b/>
                <w:i w:val="0"/>
                <w:sz w:val="17"/>
              </w:rPr>
              <w:t>令和9年4月からＡ型の新規利用者等も対象となる予定のため、Ａ型の新規利用の見込みを加える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before="40" w:after="160"/>
        <w:ind w:left="113"/>
      </w:pPr>
      <w:r>
        <w:rPr>
          <w:rFonts w:ascii="游ゴシック" w:hAnsi="游ゴシック" w:eastAsia="游ゴシック"/>
          <w:b/>
          <w:i w:val="0"/>
          <w:sz w:val="17"/>
        </w:rPr>
        <w:t>※ 本町には、国の基本指針の別表第五（地域差の是正）の適用はありません。</w:t>
      </w:r>
      <w:r>
        <w:rPr>
          <w:rFonts w:ascii="游ゴシック" w:hAnsi="游ゴシック" w:eastAsia="游ゴシック"/>
          <w:b w:val="0"/>
          <w:i w:val="0"/>
          <w:sz w:val="17"/>
        </w:rPr>
        <w:t xml:space="preserve"> 別表第五は、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w:t>
      </w:r>
      <w:r>
        <w:rPr>
          <w:rFonts w:ascii="游ゴシック" w:hAnsi="游ゴシック" w:eastAsia="游ゴシック"/>
          <w:b/>
          <w:i w:val="0"/>
          <w:sz w:val="17"/>
        </w:rPr>
        <w:t>本町は過疎地域の持続的発展の支援に関する特別措置法第2条第1項の過疎地域市町村（全部過疎）であり、一の項の要件を満たしません。</w:t>
      </w:r>
      <w:r>
        <w:rPr>
          <w:rFonts w:ascii="游ゴシック" w:hAnsi="游ゴシック" w:eastAsia="游ゴシック"/>
          <w:b w:val="0"/>
          <w:i w:val="0"/>
          <w:sz w:val="17"/>
        </w:rPr>
        <w:t>（福島県「福島県過疎地域持続的発展方針・計画について」令和8年4月1日更新、総務省「過疎関係市町村都道府県別分布図」令和4年4月）</w:t>
      </w:r>
    </w:p>
    <w:p>
      <w:pPr>
        <w:spacing w:after="120"/>
      </w:pPr>
    </w:p>
    <w:p>
      <w:pPr>
        <w:pStyle w:val="Heading3"/>
        <w:keepNext/>
        <w:spacing w:before="180" w:after="80"/>
      </w:pPr>
      <w:r>
        <w:rPr>
          <w:rFonts w:ascii="游ゴシック" w:hAnsi="游ゴシック" w:eastAsia="游ゴシック"/>
          <w:b/>
          <w:i w:val="0"/>
          <w:color w:val="1F4D78"/>
          <w:sz w:val="22"/>
        </w:rPr>
        <w:t>2-1　量は「人数×1人あたり日数」で置きます</w:t>
      </w:r>
    </w:p>
    <w:p>
      <w:pPr>
        <w:spacing w:before="60" w:after="60"/>
      </w:pPr>
      <w:r>
        <w:rPr>
          <w:rFonts w:ascii="游ゴシック" w:hAnsi="游ゴシック" w:eastAsia="游ゴシック"/>
          <w:b/>
          <w:i w:val="0"/>
          <w:sz w:val="21"/>
        </w:rPr>
        <w:t>第6期の見込量と実績を突き合わせると、人数はおおむね見込みどおりである一方、量（人日）が大きく下回っていました</w:t>
      </w:r>
      <w:r>
        <w:rPr>
          <w:rFonts w:ascii="游ゴシック" w:hAnsi="游ゴシック" w:eastAsia="游ゴシック"/>
          <w:b w:val="0"/>
          <w:i w:val="0"/>
          <w:sz w:val="21"/>
        </w:rPr>
        <w:t>（第1部第3章2）。</w:t>
      </w:r>
      <w:r>
        <w:rPr>
          <w:rFonts w:ascii="游ゴシック" w:hAnsi="游ゴシック" w:eastAsia="游ゴシック"/>
          <w:b/>
          <w:i w:val="0"/>
          <w:sz w:val="21"/>
        </w:rPr>
        <w:t>原因は、1人あたりの利用日数を高く見積もっていたことにあります。</w:t>
      </w:r>
    </w:p>
    <w:p>
      <w:pPr>
        <w:keepNext/>
        <w:spacing w:before="200" w:after="40"/>
      </w:pPr>
      <w:r>
        <w:rPr>
          <w:rFonts w:ascii="游ゴシック" w:hAnsi="游ゴシック" w:eastAsia="游ゴシック"/>
          <w:b/>
          <w:i w:val="0"/>
          <w:color w:val="1F4D78"/>
          <w:sz w:val="22"/>
        </w:rPr>
        <w:t>【表32】第3部第2章　活動指標・サービス見込量（2）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928"/>
        <w:gridCol w:w="1928"/>
        <w:gridCol w:w="340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第6期の見込み</w:t>
            </w:r>
            <w:r>
              <w:rPr>
                <w:rFonts w:ascii="游ゴシック" w:hAnsi="游ゴシック" w:eastAsia="游ゴシック"/>
                <w:b/>
                <w:i w:val="0"/>
                <w:color w:val="FFFFFF"/>
                <w:sz w:val="17"/>
              </w:rPr>
              <w:br/>
              <w:t>1人あたり日数</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第6期の実績</w:t>
            </w:r>
            <w:r>
              <w:rPr>
                <w:rFonts w:ascii="游ゴシック" w:hAnsi="游ゴシック" w:eastAsia="游ゴシック"/>
                <w:b/>
                <w:i w:val="0"/>
                <w:color w:val="FFFFFF"/>
                <w:sz w:val="17"/>
              </w:rPr>
              <w:br/>
              <w:t>1人あたり日数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8.3日</w:t>
            </w:r>
          </w:p>
        </w:tc>
        <w:tc>
          <w:tcPr>
            <w:tcW w:type="dxa" w:w="1928"/>
            <w:vAlign w:val="center"/>
          </w:tcPr>
          <w:p>
            <w:pPr>
              <w:spacing w:before="20" w:after="20"/>
              <w:jc w:val="right"/>
            </w:pPr>
            <w:r>
              <w:rPr>
                <w:rFonts w:ascii="游ゴシック" w:hAnsi="游ゴシック" w:eastAsia="游ゴシック"/>
                <w:b w:val="0"/>
                <w:i w:val="0"/>
                <w:sz w:val="17"/>
              </w:rPr>
              <w:t>4.0〜5.0日</w:t>
            </w:r>
          </w:p>
        </w:tc>
        <w:tc>
          <w:tcPr>
            <w:tcW w:type="dxa" w:w="3402"/>
            <w:vAlign w:val="center"/>
          </w:tcPr>
          <w:p>
            <w:pPr>
              <w:spacing w:before="20" w:after="20"/>
            </w:pPr>
            <w:r>
              <w:rPr>
                <w:rFonts w:ascii="游ゴシック" w:hAnsi="游ゴシック" w:eastAsia="游ゴシック"/>
                <w:b/>
                <w:i w:val="0"/>
                <w:sz w:val="17"/>
              </w:rPr>
              <w:t>町内に療育機関がない</w:t>
            </w:r>
            <w:r>
              <w:rPr>
                <w:rFonts w:ascii="游ゴシック" w:hAnsi="游ゴシック" w:eastAsia="游ゴシック"/>
                <w:b w:val="0"/>
                <w:i w:val="0"/>
                <w:sz w:val="17"/>
              </w:rPr>
              <w:t>（第2部第8章1）</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11.0〜18.0日</w:t>
            </w:r>
          </w:p>
        </w:tc>
        <w:tc>
          <w:tcPr>
            <w:tcW w:type="dxa" w:w="3402"/>
            <w:vAlign w:val="center"/>
          </w:tcPr>
          <w:p>
            <w:pPr>
              <w:spacing w:before="20" w:after="20"/>
            </w:pPr>
            <w:r>
              <w:rPr>
                <w:rFonts w:ascii="游ゴシック" w:hAnsi="游ゴシック" w:eastAsia="游ゴシック"/>
                <w:b w:val="0"/>
                <w:i w:val="0"/>
                <w:sz w:val="17"/>
              </w:rPr>
              <w:t>実績が年々増えている（11.0→18.0日）</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928"/>
            <w:vAlign w:val="center"/>
          </w:tcPr>
          <w:p>
            <w:pPr>
              <w:spacing w:before="20" w:after="20"/>
              <w:jc w:val="right"/>
            </w:pPr>
            <w:r>
              <w:rPr>
                <w:rFonts w:ascii="游ゴシック" w:hAnsi="游ゴシック" w:eastAsia="游ゴシック"/>
                <w:b w:val="0"/>
                <w:i w:val="0"/>
                <w:sz w:val="17"/>
              </w:rPr>
              <w:t>―</w:t>
            </w:r>
          </w:p>
        </w:tc>
        <w:tc>
          <w:tcPr>
            <w:tcW w:type="dxa" w:w="1928"/>
            <w:vAlign w:val="center"/>
          </w:tcPr>
          <w:p>
            <w:pPr>
              <w:spacing w:before="20" w:after="20"/>
              <w:jc w:val="right"/>
            </w:pPr>
            <w:r>
              <w:rPr>
                <w:rFonts w:ascii="游ゴシック" w:hAnsi="游ゴシック" w:eastAsia="游ゴシック"/>
                <w:b w:val="0"/>
                <w:i w:val="0"/>
                <w:sz w:val="17"/>
              </w:rPr>
              <w:t>21.0日</w:t>
            </w:r>
          </w:p>
        </w:tc>
        <w:tc>
          <w:tcPr>
            <w:tcW w:type="dxa" w:w="3402"/>
            <w:vAlign w:val="center"/>
          </w:tcPr>
          <w:p>
            <w:pPr>
              <w:spacing w:before="20" w:after="20"/>
            </w:pPr>
            <w:r>
              <w:rPr>
                <w:rFonts w:ascii="游ゴシック" w:hAnsi="游ゴシック" w:eastAsia="游ゴシック"/>
                <w:b/>
                <w:i w:val="0"/>
                <w:sz w:val="17"/>
              </w:rPr>
              <w:t>第6期は見込み0。</w:t>
            </w:r>
            <w:r>
              <w:rPr>
                <w:rFonts w:ascii="游ゴシック" w:hAnsi="游ゴシック" w:eastAsia="游ゴシック"/>
                <w:b w:val="0"/>
                <w:i w:val="0"/>
                <w:sz w:val="17"/>
              </w:rPr>
              <w:t>実績のみ21.0日</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928"/>
            <w:vAlign w:val="center"/>
          </w:tcPr>
          <w:p>
            <w:pPr>
              <w:spacing w:before="20" w:after="20"/>
              <w:jc w:val="right"/>
            </w:pPr>
            <w:r>
              <w:rPr>
                <w:rFonts w:ascii="游ゴシック" w:hAnsi="游ゴシック" w:eastAsia="游ゴシック"/>
                <w:b w:val="0"/>
                <w:i w:val="0"/>
                <w:sz w:val="17"/>
              </w:rPr>
              <w:t>23.2〜25.9日</w:t>
            </w:r>
          </w:p>
        </w:tc>
        <w:tc>
          <w:tcPr>
            <w:tcW w:type="dxa" w:w="1928"/>
            <w:vAlign w:val="center"/>
          </w:tcPr>
          <w:p>
            <w:pPr>
              <w:spacing w:before="20" w:after="20"/>
              <w:jc w:val="right"/>
            </w:pPr>
            <w:r>
              <w:rPr>
                <w:rFonts w:ascii="游ゴシック" w:hAnsi="游ゴシック" w:eastAsia="游ゴシック"/>
                <w:b w:val="0"/>
                <w:i w:val="0"/>
                <w:sz w:val="17"/>
              </w:rPr>
              <w:t>17.0〜18.0日</w:t>
            </w:r>
          </w:p>
        </w:tc>
        <w:tc>
          <w:tcPr>
            <w:tcW w:type="dxa" w:w="3402"/>
            <w:vAlign w:val="center"/>
          </w:tcPr>
          <w:p>
            <w:pPr>
              <w:spacing w:before="20" w:after="20"/>
            </w:pPr>
            <w:r>
              <w:rPr>
                <w:rFonts w:ascii="游ゴシック" w:hAnsi="游ゴシック" w:eastAsia="游ゴシック"/>
                <w:b w:val="0"/>
                <w:i w:val="0"/>
                <w:sz w:val="17"/>
              </w:rPr>
              <w:t>見込みはほぼ全開所日。実績は月17〜18日</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11.3日</w:t>
            </w:r>
          </w:p>
        </w:tc>
        <w:tc>
          <w:tcPr>
            <w:tcW w:type="dxa" w:w="1928"/>
            <w:vAlign w:val="center"/>
          </w:tcPr>
          <w:p>
            <w:pPr>
              <w:spacing w:before="20" w:after="20"/>
              <w:jc w:val="right"/>
            </w:pPr>
            <w:r>
              <w:rPr>
                <w:rFonts w:ascii="游ゴシック" w:hAnsi="游ゴシック" w:eastAsia="游ゴシック"/>
                <w:b w:val="0"/>
                <w:i w:val="0"/>
                <w:sz w:val="17"/>
              </w:rPr>
              <w:t>3.0〜3.5日</w:t>
            </w:r>
          </w:p>
        </w:tc>
        <w:tc>
          <w:tcPr>
            <w:tcW w:type="dxa" w:w="3402"/>
            <w:vAlign w:val="center"/>
          </w:tcPr>
          <w:p>
            <w:pPr>
              <w:spacing w:before="20" w:after="20"/>
            </w:pPr>
            <w:r>
              <w:rPr>
                <w:rFonts w:ascii="游ゴシック" w:hAnsi="游ゴシック" w:eastAsia="游ゴシック"/>
                <w:b/>
                <w:i w:val="0"/>
                <w:sz w:val="17"/>
              </w:rPr>
              <w:t>見込み週2〜3回に対し実績は週1回に満たない。</w:t>
            </w:r>
            <w:r>
              <w:rPr>
                <w:rFonts w:ascii="游ゴシック" w:hAnsi="游ゴシック" w:eastAsia="游ゴシック"/>
                <w:b w:val="0"/>
                <w:i w:val="0"/>
                <w:sz w:val="17"/>
              </w:rPr>
              <w:t>町外通所の負担（第2部第3章2）</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22.1日</w:t>
            </w:r>
          </w:p>
        </w:tc>
        <w:tc>
          <w:tcPr>
            <w:tcW w:type="dxa" w:w="1928"/>
            <w:vAlign w:val="center"/>
          </w:tcPr>
          <w:p>
            <w:pPr>
              <w:spacing w:before="20" w:after="20"/>
              <w:jc w:val="right"/>
            </w:pPr>
            <w:r>
              <w:rPr>
                <w:rFonts w:ascii="游ゴシック" w:hAnsi="游ゴシック" w:eastAsia="游ゴシック"/>
                <w:b w:val="0"/>
                <w:i w:val="0"/>
                <w:sz w:val="17"/>
              </w:rPr>
              <w:t>18.0〜19.0日</w:t>
            </w:r>
          </w:p>
        </w:tc>
        <w:tc>
          <w:tcPr>
            <w:tcW w:type="dxa" w:w="3402"/>
            <w:vAlign w:val="center"/>
          </w:tcPr>
          <w:p>
            <w:pPr>
              <w:spacing w:before="20" w:after="20"/>
            </w:pPr>
            <w:r>
              <w:rPr>
                <w:rFonts w:ascii="游ゴシック" w:hAnsi="游ゴシック" w:eastAsia="游ゴシック"/>
                <w:b w:val="0"/>
                <w:i w:val="0"/>
                <w:sz w:val="17"/>
              </w:rPr>
              <w:t>見込みはほぼ全開所日。実績は月18〜19日</w:t>
            </w:r>
          </w:p>
        </w:tc>
      </w:tr>
      <w:tr>
        <w:tc>
          <w:tcPr>
            <w:tcW w:type="dxa" w:w="2494"/>
            <w:vAlign w:val="center"/>
          </w:tcPr>
          <w:p>
            <w:pPr>
              <w:keepNext/>
              <w:spacing w:before="20" w:after="20"/>
            </w:pPr>
            <w:r>
              <w:rPr>
                <w:rFonts w:ascii="游ゴシック" w:hAnsi="游ゴシック" w:eastAsia="游ゴシック"/>
                <w:b w:val="0"/>
                <w:i w:val="0"/>
                <w:sz w:val="17"/>
              </w:rPr>
              <w:t>短期入所（福祉型）</w:t>
            </w:r>
          </w:p>
        </w:tc>
        <w:tc>
          <w:tcPr>
            <w:tcW w:type="dxa" w:w="1928"/>
            <w:vAlign w:val="center"/>
          </w:tcPr>
          <w:p>
            <w:pPr>
              <w:keepNext/>
              <w:spacing w:before="20" w:after="20"/>
              <w:jc w:val="right"/>
            </w:pPr>
            <w:r>
              <w:rPr>
                <w:rFonts w:ascii="游ゴシック" w:hAnsi="游ゴシック" w:eastAsia="游ゴシック"/>
                <w:b w:val="0"/>
                <w:i w:val="0"/>
                <w:sz w:val="17"/>
              </w:rPr>
              <w:t>8.5日</w:t>
            </w:r>
          </w:p>
        </w:tc>
        <w:tc>
          <w:tcPr>
            <w:tcW w:type="dxa" w:w="1928"/>
            <w:vAlign w:val="center"/>
          </w:tcPr>
          <w:p>
            <w:pPr>
              <w:keepNext/>
              <w:spacing w:before="20" w:after="20"/>
              <w:jc w:val="right"/>
            </w:pPr>
            <w:r>
              <w:rPr>
                <w:rFonts w:ascii="游ゴシック" w:hAnsi="游ゴシック" w:eastAsia="游ゴシック"/>
                <w:b w:val="0"/>
                <w:i w:val="0"/>
                <w:sz w:val="17"/>
              </w:rPr>
              <w:t>6.0〜7.0日</w:t>
            </w:r>
          </w:p>
        </w:tc>
        <w:tc>
          <w:tcPr>
            <w:tcW w:type="dxa" w:w="3402"/>
            <w:vAlign w:val="center"/>
          </w:tcPr>
          <w:p>
            <w:pPr>
              <w:keepNext/>
              <w:spacing w:before="20" w:after="20"/>
            </w:pPr>
            <w:r>
              <w:rPr>
                <w:rFonts w:ascii="游ゴシック" w:hAnsi="游ゴシック" w:eastAsia="游ゴシック"/>
                <w:b w:val="0"/>
                <w:i w:val="0"/>
                <w:sz w:val="17"/>
              </w:rPr>
              <w:t>見込み8.5日に対し実績6.0〜7.0日</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15.0〜23.0日</w:t>
            </w:r>
          </w:p>
        </w:tc>
        <w:tc>
          <w:tcPr>
            <w:tcW w:type="dxa" w:w="3402"/>
            <w:vAlign w:val="center"/>
          </w:tcPr>
          <w:p>
            <w:pPr>
              <w:spacing w:before="20" w:after="20"/>
            </w:pPr>
            <w:r>
              <w:rPr>
                <w:rFonts w:ascii="游ゴシック" w:hAnsi="游ゴシック" w:eastAsia="游ゴシック"/>
                <w:b w:val="0"/>
                <w:i w:val="0"/>
                <w:sz w:val="17"/>
              </w:rPr>
              <w:t>利用が1人のため幅が大きい</w:t>
            </w:r>
          </w:p>
        </w:tc>
      </w:tr>
    </w:tbl>
    <w:p>
      <w:pPr>
        <w:spacing w:after="40"/>
      </w:pPr>
    </w:p>
    <w:p>
      <w:pPr>
        <w:spacing w:before="40" w:after="160"/>
        <w:ind w:left="113"/>
      </w:pPr>
      <w:r>
        <w:rPr>
          <w:rFonts w:ascii="游ゴシック" w:hAnsi="游ゴシック" w:eastAsia="游ゴシック"/>
          <w:b w:val="0"/>
          <w:i w:val="0"/>
          <w:sz w:val="17"/>
        </w:rPr>
        <w:t>資料：前回計画の見込量・実績から当方が算出（人日÷人。令和3〜5年度の幅）。</w:t>
      </w:r>
      <w:r>
        <w:rPr>
          <w:rFonts w:ascii="游ゴシック" w:hAnsi="游ゴシック" w:eastAsia="游ゴシック"/>
          <w:b/>
          <w:i w:val="0"/>
          <w:sz w:val="17"/>
        </w:rPr>
        <w:t>実績の人数が0の年度は「―」としています。</w:t>
      </w:r>
    </w:p>
    <w:p>
      <w:pPr>
        <w:spacing w:after="120"/>
      </w:pPr>
    </w:p>
    <w:p>
      <w:pPr>
        <w:keepNext/>
        <w:spacing w:before="200" w:after="40"/>
      </w:pPr>
      <w:r>
        <w:rPr>
          <w:rFonts w:ascii="游ゴシック" w:hAnsi="游ゴシック" w:eastAsia="游ゴシック"/>
          <w:b/>
          <w:i w:val="0"/>
          <w:color w:val="1F4D78"/>
          <w:sz w:val="22"/>
        </w:rPr>
        <w:t>【図2】第3部第2章2-1　1人あたりの利用日数　見込みと実績</w:t>
      </w:r>
    </w:p>
    <w:p>
      <w:pPr>
        <w:keepNext/>
        <w:spacing w:before="0" w:after="40"/>
        <w:jc w:val="center"/>
      </w:pPr>
      <w:r>
        <w:drawing>
          <wp:inline xmlns:a="http://schemas.openxmlformats.org/drawingml/2006/main" xmlns:pic="http://schemas.openxmlformats.org/drawingml/2006/picture">
            <wp:extent cx="5580000" cy="3706450"/>
            <wp:docPr id="2" name="Picture 2"/>
            <wp:cNvGraphicFramePr>
              <a:graphicFrameLocks noChangeAspect="1"/>
            </wp:cNvGraphicFramePr>
            <a:graphic>
              <a:graphicData uri="http://schemas.openxmlformats.org/drawingml/2006/picture">
                <pic:pic>
                  <pic:nvPicPr>
                    <pic:cNvPr id="0" name="f62_shogai_nissu.png"/>
                    <pic:cNvPicPr/>
                  </pic:nvPicPr>
                  <pic:blipFill>
                    <a:blip r:embed="rId14"/>
                    <a:stretch>
                      <a:fillRect/>
                    </a:stretch>
                  </pic:blipFill>
                  <pic:spPr>
                    <a:xfrm>
                      <a:off x="0" y="0"/>
                      <a:ext cx="5580000" cy="3706450"/>
                    </a:xfrm>
                    <a:prstGeom prst="rect"/>
                  </pic:spPr>
                </pic:pic>
              </a:graphicData>
            </a:graphic>
          </wp:inline>
        </w:drawing>
      </w:r>
    </w:p>
    <w:p>
      <w:pPr>
        <w:spacing w:before="40" w:after="160"/>
        <w:ind w:left="113"/>
      </w:pPr>
      <w:r>
        <w:rPr>
          <w:rFonts w:ascii="游ゴシック" w:hAnsi="游ゴシック" w:eastAsia="游ゴシック"/>
          <w:b w:val="0"/>
          <w:i w:val="0"/>
          <w:sz w:val="17"/>
        </w:rPr>
        <w:t>資料：前回計画（令和6年3月）の第6期の見込量・実績から当方が算出（令和3〜5年度の平均）。</w:t>
      </w:r>
      <w:r>
        <w:rPr>
          <w:rFonts w:ascii="游ゴシック" w:hAnsi="游ゴシック" w:eastAsia="游ゴシック"/>
          <w:b/>
          <w:i w:val="0"/>
          <w:sz w:val="17"/>
        </w:rPr>
        <w:t>右端は実績÷見込み。6割を下回るものを赤で示す</w:t>
      </w:r>
    </w:p>
    <w:p>
      <w:pPr>
        <w:spacing w:after="120"/>
      </w:pPr>
    </w:p>
    <w:p>
      <w:pPr>
        <w:spacing w:before="60" w:after="60"/>
      </w:pPr>
      <w:r>
        <w:rPr>
          <w:rFonts w:ascii="游ゴシック" w:hAnsi="游ゴシック" w:eastAsia="游ゴシック"/>
          <w:b/>
          <w:i w:val="0"/>
          <w:sz w:val="21"/>
        </w:rPr>
        <w:t>放課後等デイサービスがとりわけ大きく離れています。</w:t>
      </w:r>
      <w:r>
        <w:rPr>
          <w:rFonts w:ascii="游ゴシック" w:hAnsi="游ゴシック" w:eastAsia="游ゴシック"/>
          <w:b w:val="0"/>
          <w:i w:val="0"/>
          <w:sz w:val="21"/>
        </w:rPr>
        <w:t>見込みは1人あたり月11.3日（週2〜3回）でしたが、実績は</w:t>
      </w:r>
      <w:r>
        <w:rPr>
          <w:rFonts w:ascii="游ゴシック" w:hAnsi="游ゴシック" w:eastAsia="游ゴシック"/>
          <w:b/>
          <w:i w:val="0"/>
          <w:sz w:val="21"/>
        </w:rPr>
        <w:t>月3.0〜3.5日（週1回に満たない）</w:t>
      </w:r>
      <w:r>
        <w:rPr>
          <w:rFonts w:ascii="游ゴシック" w:hAnsi="游ゴシック" w:eastAsia="游ゴシック"/>
          <w:b w:val="0"/>
          <w:i w:val="0"/>
          <w:sz w:val="21"/>
        </w:rPr>
        <w:t>でした。児童発達支援も見込み8.3日に対し実績4.0〜5.0日です。</w:t>
      </w:r>
      <w:r>
        <w:rPr>
          <w:rFonts w:ascii="游ゴシック" w:hAnsi="游ゴシック" w:eastAsia="游ゴシック"/>
          <w:b/>
          <w:i w:val="0"/>
          <w:sz w:val="21"/>
        </w:rPr>
        <w:t>町内に療育機関がなく、町外へ通うことになる</w:t>
      </w:r>
      <w:r>
        <w:rPr>
          <w:rFonts w:ascii="游ゴシック" w:hAnsi="游ゴシック" w:eastAsia="游ゴシック"/>
          <w:b w:val="0"/>
          <w:i w:val="0"/>
          <w:sz w:val="21"/>
        </w:rPr>
        <w:t>ため、通える回数が限られているものと考えられます（第2部第3章2・第8章1）。</w:t>
      </w:r>
    </w:p>
    <w:p>
      <w:pPr>
        <w:spacing w:before="60" w:after="60"/>
      </w:pPr>
      <w:r>
        <w:rPr>
          <w:rFonts w:ascii="游ゴシック" w:hAnsi="游ゴシック" w:eastAsia="游ゴシック"/>
          <w:b/>
          <w:i w:val="0"/>
          <w:sz w:val="21"/>
        </w:rPr>
        <w:t>日中活動系も同じ向きです。</w:t>
      </w:r>
      <w:r>
        <w:rPr>
          <w:rFonts w:ascii="游ゴシック" w:hAnsi="游ゴシック" w:eastAsia="游ゴシック"/>
          <w:b w:val="0"/>
          <w:i w:val="0"/>
          <w:sz w:val="21"/>
        </w:rPr>
        <w:t>生活介護は見込み22.1日（ほぼ全開所日）に対し実績18.0〜19.0日、就労継続支援（Ｂ型）は見込み23.2〜25.9日に対し実績17.0〜18.0日です。</w:t>
      </w:r>
    </w:p>
    <w:p>
      <w:pPr>
        <w:spacing w:before="60" w:after="60"/>
      </w:pPr>
      <w:r>
        <w:rPr>
          <w:rFonts w:ascii="游ゴシック" w:hAnsi="游ゴシック" w:eastAsia="游ゴシック"/>
          <w:b/>
          <w:i w:val="0"/>
          <w:sz w:val="21"/>
        </w:rPr>
        <w:t>そこで第8期は、見込量を次の形で置きます。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量（人日）＝ 見込人数 × 1人あたり日数</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1人あたり日数は、前回計画が用いた値ではなく、直近の実績の値を出発点とします。</w:t>
      </w:r>
      <w:r>
        <w:rPr>
          <w:rFonts w:ascii="游ゴシック" w:hAnsi="游ゴシック" w:eastAsia="游ゴシック"/>
          <w:b w:val="0"/>
          <w:i w:val="0"/>
          <w:sz w:val="21"/>
        </w:rPr>
        <w:t>引き上げる場合は、</w:t>
      </w:r>
      <w:r>
        <w:rPr>
          <w:rFonts w:ascii="游ゴシック" w:hAnsi="游ゴシック" w:eastAsia="游ゴシック"/>
          <w:b/>
          <w:i w:val="0"/>
          <w:sz w:val="21"/>
        </w:rPr>
        <w:t>何をすれば日数が増えるのかを施策（第2部）の側に書いたうえで</w:t>
      </w:r>
      <w:r>
        <w:rPr>
          <w:rFonts w:ascii="游ゴシック" w:hAnsi="游ゴシック" w:eastAsia="游ゴシック"/>
          <w:b w:val="0"/>
          <w:i w:val="0"/>
          <w:sz w:val="21"/>
        </w:rPr>
        <w:t>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人数と1人あたり日数を分けて示します。</w:t>
      </w:r>
      <w:r>
        <w:rPr>
          <w:rFonts w:ascii="游ゴシック" w:hAnsi="游ゴシック" w:eastAsia="游ゴシック"/>
          <w:b w:val="0"/>
          <w:i w:val="0"/>
          <w:sz w:val="21"/>
        </w:rPr>
        <w:t>どちらがずれたのかが、毎年度の点検で分かるようにするためです（第4部3）。</w:t>
      </w:r>
    </w:p>
    <w:p>
      <w:pPr>
        <w:spacing w:before="40" w:after="160"/>
        <w:ind w:left="113"/>
      </w:pPr>
      <w:r>
        <w:rPr>
          <w:rFonts w:ascii="游ゴシック" w:hAnsi="游ゴシック" w:eastAsia="游ゴシック"/>
          <w:b/>
          <w:i w:val="0"/>
          <w:sz w:val="17"/>
        </w:rPr>
        <w:t>※ 1人あたり日数を実績どおりに置くことは、利用を増やさないという意味ではありません。</w:t>
      </w:r>
      <w:r>
        <w:rPr>
          <w:rFonts w:ascii="游ゴシック" w:hAnsi="游ゴシック" w:eastAsia="游ゴシック"/>
          <w:b/>
          <w:i w:val="0"/>
          <w:sz w:val="17"/>
        </w:rPr>
        <w:t>増やすのであれば、通えない理由（送迎・費用・事業所の有無）を施策で取り除く必要があり、その手当てと対にして日数を置きます。</w:t>
      </w:r>
      <w:r>
        <w:rPr>
          <w:rFonts w:ascii="游ゴシック" w:hAnsi="游ゴシック" w:eastAsia="游ゴシック"/>
          <w:b w:val="0"/>
          <w:i w:val="0"/>
          <w:sz w:val="17"/>
        </w:rPr>
        <w:t>手当てのないまま日数だけを高く置くと、第6期と同じことが繰り返されます。</w:t>
      </w:r>
    </w:p>
    <w:p>
      <w:pPr>
        <w:spacing w:after="120"/>
      </w:pPr>
    </w:p>
    <w:p>
      <w:pPr>
        <w:pStyle w:val="Heading3"/>
        <w:keepNext/>
        <w:spacing w:before="180" w:after="80"/>
      </w:pPr>
      <w:r>
        <w:rPr>
          <w:rFonts w:ascii="游ゴシック" w:hAnsi="游ゴシック" w:eastAsia="游ゴシック"/>
          <w:b/>
          <w:i w:val="0"/>
          <w:color w:val="1F4D78"/>
          <w:sz w:val="22"/>
        </w:rPr>
        <w:t>2-2　地域生活支援事業は、実績も見込量も0のものが並んでいます</w:t>
      </w:r>
    </w:p>
    <w:p>
      <w:pPr>
        <w:spacing w:before="60" w:after="60"/>
      </w:pPr>
      <w:r>
        <w:rPr>
          <w:rFonts w:ascii="游ゴシック" w:hAnsi="游ゴシック" w:eastAsia="游ゴシック"/>
          <w:b/>
          <w:i w:val="0"/>
          <w:sz w:val="21"/>
        </w:rPr>
        <w:t>前回計画の地域生活支援事業（11事業）のうち、次の4つは第6期の実績も第7期の見込量もすべて0です。</w:t>
      </w:r>
    </w:p>
    <w:p>
      <w:pPr>
        <w:keepNext/>
        <w:spacing w:before="200" w:after="40"/>
      </w:pPr>
      <w:r>
        <w:rPr>
          <w:rFonts w:ascii="游ゴシック" w:hAnsi="游ゴシック" w:eastAsia="游ゴシック"/>
          <w:b/>
          <w:i w:val="0"/>
          <w:color w:val="1F4D78"/>
          <w:sz w:val="22"/>
        </w:rPr>
        <w:t>【表33】第3部第2章　活動指標・サービス見込量（3）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041"/>
        <w:gridCol w:w="1587"/>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第7期の見込量</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494"/>
            <w:vAlign w:val="center"/>
          </w:tcPr>
          <w:p>
            <w:pPr>
              <w:spacing w:before="20" w:after="20"/>
            </w:pPr>
            <w:r>
              <w:rPr>
                <w:rFonts w:ascii="游ゴシック" w:hAnsi="游ゴシック" w:eastAsia="游ゴシック"/>
                <w:b/>
                <w:i w:val="0"/>
                <w:sz w:val="17"/>
              </w:rPr>
              <w:t>意思疎通支援事業</w:t>
            </w:r>
            <w:r>
              <w:rPr>
                <w:rFonts w:ascii="游ゴシック" w:hAnsi="游ゴシック" w:eastAsia="游ゴシック"/>
                <w:b w:val="0"/>
                <w:i w:val="0"/>
                <w:sz w:val="17"/>
              </w:rPr>
              <w:br/>
              <w:t>（手話通訳者・要約筆記者派遣／手話通訳者設置／点訳・代筆・代読・音声訳等）</w:t>
            </w:r>
          </w:p>
        </w:tc>
        <w:tc>
          <w:tcPr>
            <w:tcW w:type="dxa" w:w="2041"/>
            <w:vAlign w:val="center"/>
          </w:tcPr>
          <w:p>
            <w:pPr>
              <w:spacing w:before="20" w:after="20"/>
            </w:pPr>
            <w:r>
              <w:rPr>
                <w:rFonts w:ascii="游ゴシック" w:hAnsi="游ゴシック" w:eastAsia="游ゴシック"/>
                <w:b/>
                <w:i w:val="0"/>
                <w:sz w:val="17"/>
              </w:rPr>
              <w:t>0人・0か所</w:t>
            </w:r>
          </w:p>
        </w:tc>
        <w:tc>
          <w:tcPr>
            <w:tcW w:type="dxa" w:w="1587"/>
            <w:vAlign w:val="center"/>
          </w:tcPr>
          <w:p>
            <w:pPr>
              <w:spacing w:before="20" w:after="20"/>
            </w:pPr>
            <w:r>
              <w:rPr>
                <w:rFonts w:ascii="游ゴシック" w:hAnsi="游ゴシック" w:eastAsia="游ゴシック"/>
                <w:b/>
                <w:i w:val="0"/>
                <w:sz w:val="17"/>
              </w:rPr>
              <w:t>0人・0か所</w:t>
            </w:r>
          </w:p>
        </w:tc>
        <w:tc>
          <w:tcPr>
            <w:tcW w:type="dxa" w:w="3628"/>
            <w:vAlign w:val="center"/>
          </w:tcPr>
          <w:p>
            <w:pPr>
              <w:spacing w:before="20" w:after="20"/>
            </w:pPr>
            <w:r>
              <w:rPr>
                <w:rFonts w:ascii="游ゴシック" w:hAnsi="游ゴシック" w:eastAsia="游ゴシック"/>
                <w:b/>
                <w:i w:val="0"/>
                <w:sz w:val="17"/>
              </w:rPr>
              <w:t>令和7年4月に町条例が施行されました</w:t>
            </w:r>
            <w:r>
              <w:rPr>
                <w:rFonts w:ascii="游ゴシック" w:hAnsi="游ゴシック" w:eastAsia="游ゴシック"/>
                <w:b w:val="0"/>
                <w:i w:val="0"/>
                <w:sz w:val="17"/>
              </w:rPr>
              <w:t>（第2部第4章）。</w:t>
            </w:r>
            <w:r>
              <w:rPr>
                <w:rFonts w:ascii="游ゴシック" w:hAnsi="游ゴシック" w:eastAsia="游ゴシック"/>
                <w:b/>
                <w:i w:val="0"/>
                <w:sz w:val="17"/>
              </w:rPr>
              <w:t>条例を掲げて量を0のままにはできません</w:t>
            </w:r>
          </w:p>
        </w:tc>
      </w:tr>
      <w:tr>
        <w:tc>
          <w:tcPr>
            <w:tcW w:type="dxa" w:w="2494"/>
            <w:vAlign w:val="center"/>
          </w:tcPr>
          <w:p>
            <w:pPr>
              <w:spacing w:before="20" w:after="20"/>
            </w:pPr>
            <w:r>
              <w:rPr>
                <w:rFonts w:ascii="游ゴシック" w:hAnsi="游ゴシック" w:eastAsia="游ゴシック"/>
                <w:b/>
                <w:i w:val="0"/>
                <w:sz w:val="17"/>
              </w:rPr>
              <w:t>手話奉仕員養成研修事業</w:t>
            </w:r>
          </w:p>
        </w:tc>
        <w:tc>
          <w:tcPr>
            <w:tcW w:type="dxa" w:w="2041"/>
            <w:vAlign w:val="center"/>
          </w:tcPr>
          <w:p>
            <w:pPr>
              <w:spacing w:before="20" w:after="20"/>
            </w:pPr>
            <w:r>
              <w:rPr>
                <w:rFonts w:ascii="游ゴシック" w:hAnsi="游ゴシック" w:eastAsia="游ゴシック"/>
                <w:b/>
                <w:i w:val="0"/>
                <w:sz w:val="17"/>
              </w:rPr>
              <w:t>0人</w:t>
            </w:r>
          </w:p>
        </w:tc>
        <w:tc>
          <w:tcPr>
            <w:tcW w:type="dxa" w:w="1587"/>
            <w:vAlign w:val="center"/>
          </w:tcPr>
          <w:p>
            <w:pPr>
              <w:spacing w:before="20" w:after="20"/>
            </w:pPr>
            <w:r>
              <w:rPr>
                <w:rFonts w:ascii="游ゴシック" w:hAnsi="游ゴシック" w:eastAsia="游ゴシック"/>
                <w:b/>
                <w:i w:val="0"/>
                <w:sz w:val="17"/>
              </w:rPr>
              <w:t>0人</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養成しなければ派遣もできません</w:t>
            </w:r>
          </w:p>
        </w:tc>
      </w:tr>
      <w:tr>
        <w:tc>
          <w:tcPr>
            <w:tcW w:type="dxa" w:w="2494"/>
            <w:vAlign w:val="center"/>
          </w:tcPr>
          <w:p>
            <w:pPr>
              <w:keepNext/>
              <w:spacing w:before="20" w:after="20"/>
            </w:pPr>
            <w:r>
              <w:rPr>
                <w:rFonts w:ascii="游ゴシック" w:hAnsi="游ゴシック" w:eastAsia="游ゴシック"/>
                <w:b/>
                <w:i w:val="0"/>
                <w:sz w:val="17"/>
              </w:rPr>
              <w:t>移動支援事業</w:t>
            </w:r>
          </w:p>
        </w:tc>
        <w:tc>
          <w:tcPr>
            <w:tcW w:type="dxa" w:w="2041"/>
            <w:vAlign w:val="center"/>
          </w:tcPr>
          <w:p>
            <w:pPr>
              <w:keepNext/>
              <w:spacing w:before="20" w:after="20"/>
            </w:pPr>
            <w:r>
              <w:rPr>
                <w:rFonts w:ascii="游ゴシック" w:hAnsi="游ゴシック" w:eastAsia="游ゴシック"/>
                <w:b/>
                <w:i w:val="0"/>
                <w:sz w:val="17"/>
              </w:rPr>
              <w:t>0人・0時間</w:t>
            </w:r>
          </w:p>
        </w:tc>
        <w:tc>
          <w:tcPr>
            <w:tcW w:type="dxa" w:w="1587"/>
            <w:vAlign w:val="center"/>
          </w:tcPr>
          <w:p>
            <w:pPr>
              <w:keepNext/>
              <w:spacing w:before="20" w:after="20"/>
            </w:pPr>
            <w:r>
              <w:rPr>
                <w:rFonts w:ascii="游ゴシック" w:hAnsi="游ゴシック" w:eastAsia="游ゴシック"/>
                <w:b/>
                <w:i w:val="0"/>
                <w:sz w:val="17"/>
              </w:rPr>
              <w:t>0人・0時間</w:t>
            </w:r>
          </w:p>
        </w:tc>
        <w:tc>
          <w:tcPr>
            <w:tcW w:type="dxa" w:w="3628"/>
            <w:vAlign w:val="center"/>
          </w:tcPr>
          <w:p>
            <w:pPr>
              <w:keepNext/>
              <w:spacing w:before="20" w:after="20"/>
            </w:pPr>
            <w:r>
              <w:rPr>
                <w:rFonts w:ascii="游ゴシック" w:hAnsi="游ゴシック" w:eastAsia="游ゴシック"/>
                <w:b/>
                <w:i w:val="0"/>
                <w:sz w:val="17"/>
              </w:rPr>
              <w:t>第2部第3章2で外出支援の柱に置いています。</w:t>
            </w:r>
            <w:r>
              <w:rPr>
                <w:rFonts w:ascii="游ゴシック" w:hAnsi="游ゴシック" w:eastAsia="游ゴシック"/>
                <w:b w:val="0"/>
                <w:i w:val="0"/>
                <w:sz w:val="17"/>
              </w:rPr>
              <w:t>外出の困りごと（段差・公共交通・費用）と合いません</w:t>
            </w:r>
          </w:p>
        </w:tc>
      </w:tr>
      <w:tr>
        <w:tc>
          <w:tcPr>
            <w:tcW w:type="dxa" w:w="2494"/>
            <w:vAlign w:val="center"/>
          </w:tcPr>
          <w:p>
            <w:pPr>
              <w:spacing w:before="20" w:after="20"/>
            </w:pPr>
            <w:r>
              <w:rPr>
                <w:rFonts w:ascii="游ゴシック" w:hAnsi="游ゴシック" w:eastAsia="游ゴシック"/>
                <w:b/>
                <w:i w:val="0"/>
                <w:sz w:val="17"/>
              </w:rPr>
              <w:t>地域活動支援センター</w:t>
            </w:r>
          </w:p>
        </w:tc>
        <w:tc>
          <w:tcPr>
            <w:tcW w:type="dxa" w:w="2041"/>
            <w:vAlign w:val="center"/>
          </w:tcPr>
          <w:p>
            <w:pPr>
              <w:spacing w:before="20" w:after="20"/>
            </w:pPr>
            <w:r>
              <w:rPr>
                <w:rFonts w:ascii="游ゴシック" w:hAnsi="游ゴシック" w:eastAsia="游ゴシック"/>
                <w:b/>
                <w:i w:val="0"/>
                <w:sz w:val="17"/>
              </w:rPr>
              <w:t>0人・0時間</w:t>
            </w:r>
          </w:p>
        </w:tc>
        <w:tc>
          <w:tcPr>
            <w:tcW w:type="dxa" w:w="1587"/>
            <w:vAlign w:val="center"/>
          </w:tcPr>
          <w:p>
            <w:pPr>
              <w:spacing w:before="20" w:after="20"/>
            </w:pPr>
            <w:r>
              <w:rPr>
                <w:rFonts w:ascii="游ゴシック" w:hAnsi="游ゴシック" w:eastAsia="游ゴシック"/>
                <w:b/>
                <w:i w:val="0"/>
                <w:sz w:val="17"/>
              </w:rPr>
              <w:t>0人・0時間</w:t>
            </w:r>
          </w:p>
        </w:tc>
        <w:tc>
          <w:tcPr>
            <w:tcW w:type="dxa" w:w="3628"/>
            <w:vAlign w:val="center"/>
          </w:tcPr>
          <w:p>
            <w:pPr>
              <w:spacing w:before="20" w:after="20"/>
            </w:pPr>
            <w:r>
              <w:rPr>
                <w:rFonts w:ascii="游ゴシック" w:hAnsi="游ゴシック" w:eastAsia="游ゴシック"/>
                <w:b w:val="0"/>
                <w:i w:val="0"/>
                <w:sz w:val="17"/>
              </w:rPr>
              <w:t>第2部第10章3で社会参加の場に挙げています</w:t>
            </w:r>
          </w:p>
        </w:tc>
      </w:tr>
    </w:tbl>
    <w:p>
      <w:pPr>
        <w:spacing w:after="40"/>
      </w:pPr>
    </w:p>
    <w:p>
      <w:pPr>
        <w:spacing w:before="40" w:after="160"/>
        <w:ind w:left="113"/>
      </w:pPr>
      <w:r>
        <w:rPr>
          <w:rFonts w:ascii="游ゴシック" w:hAnsi="游ゴシック" w:eastAsia="游ゴシック"/>
          <w:b w:val="0"/>
          <w:i w:val="0"/>
          <w:sz w:val="17"/>
        </w:rPr>
        <w:t>資料：前回計画 第3部第8章。</w:t>
      </w:r>
      <w:r>
        <w:rPr>
          <w:rFonts w:ascii="游ゴシック" w:hAnsi="游ゴシック" w:eastAsia="游ゴシック"/>
          <w:b/>
          <w:i w:val="0"/>
          <w:sz w:val="17"/>
        </w:rPr>
        <w:t>実績のある事業は、日中一時支援事業（22〜24人）と訪問入浴サービス事業（1〜2人／年）です。</w:t>
      </w:r>
      <w:r>
        <w:rPr>
          <w:rFonts w:ascii="游ゴシック" w:hAnsi="游ゴシック" w:eastAsia="游ゴシック"/>
          <w:b/>
          <w:i w:val="0"/>
          <w:sz w:val="17"/>
        </w:rPr>
        <w:t>令和6〜8年度の実績は【町データ待ち】です。</w:t>
      </w:r>
    </w:p>
    <w:p>
      <w:pPr>
        <w:spacing w:after="120"/>
      </w:pPr>
    </w:p>
    <w:p>
      <w:pPr>
        <w:spacing w:before="60" w:after="60"/>
      </w:pPr>
      <w:r>
        <w:rPr>
          <w:rFonts w:ascii="游ゴシック" w:hAnsi="游ゴシック" w:eastAsia="游ゴシック"/>
          <w:b/>
          <w:i w:val="0"/>
          <w:sz w:val="21"/>
        </w:rPr>
        <w:t>0が続いていることには、2つの読み方があります。</w:t>
      </w:r>
      <w:r>
        <w:rPr>
          <w:rFonts w:ascii="游ゴシック" w:hAnsi="游ゴシック" w:eastAsia="游ゴシック"/>
          <w:b/>
          <w:i w:val="0"/>
          <w:sz w:val="21"/>
        </w:rPr>
        <w:t>①必要がなかった。②必要はあったが、使える形になっていなかった。</w:t>
      </w:r>
      <w:r>
        <w:rPr>
          <w:rFonts w:ascii="游ゴシック" w:hAnsi="游ゴシック" w:eastAsia="游ゴシック"/>
          <w:b/>
          <w:i w:val="0"/>
          <w:sz w:val="21"/>
        </w:rPr>
        <w:t>どちらであるかによって、本計画ですべきことが正反対になります。</w:t>
      </w:r>
    </w:p>
    <w:p>
      <w:pPr>
        <w:spacing w:before="60" w:after="60"/>
      </w:pPr>
      <w:r>
        <w:rPr>
          <w:rFonts w:ascii="游ゴシック" w:hAnsi="游ゴシック" w:eastAsia="游ゴシック"/>
          <w:b/>
          <w:i w:val="0"/>
          <w:sz w:val="21"/>
        </w:rPr>
        <w:t>本町は令和7年4月に手話言語及び障がい者コミュニケーション条例を施行しました。</w:t>
      </w:r>
      <w:r>
        <w:rPr>
          <w:rFonts w:ascii="游ゴシック" w:hAnsi="游ゴシック" w:eastAsia="游ゴシック"/>
          <w:b w:val="0"/>
          <w:i w:val="0"/>
          <w:sz w:val="21"/>
        </w:rPr>
        <w:t xml:space="preserve"> 条例を定めながら意思疎通支援事業の量を0のまま置くことはできません。</w:t>
      </w:r>
      <w:r>
        <w:rPr>
          <w:rFonts w:ascii="游ゴシック" w:hAnsi="游ゴシック" w:eastAsia="游ゴシック"/>
          <w:b/>
          <w:i w:val="0"/>
          <w:sz w:val="21"/>
        </w:rPr>
        <w:t>移動支援事業も、外出の困りごととして段差・公共交通・費用が挙げられている以上、0のままにはできません。</w:t>
      </w:r>
    </w:p>
    <w:p>
      <w:pPr>
        <w:spacing w:before="60" w:after="60"/>
      </w:pPr>
      <w:r>
        <w:rPr>
          <w:rFonts w:ascii="游ゴシック" w:hAnsi="游ゴシック" w:eastAsia="游ゴシック"/>
          <w:b/>
          <w:i w:val="0"/>
          <w:sz w:val="21"/>
        </w:rPr>
        <w:t>第8期は、この4事業について、①使われなかった理由を確かめ、②施策（第2部）の手当てと対にして量を置きます。</w:t>
      </w:r>
      <w:r>
        <w:rPr>
          <w:rFonts w:ascii="游ゴシック" w:hAnsi="游ゴシック" w:eastAsia="游ゴシック"/>
          <w:b w:val="0"/>
          <w:i w:val="0"/>
          <w:sz w:val="21"/>
        </w:rPr>
        <w:t xml:space="preserve"> 量だけを立てて施策がなければ、また0になります。</w:t>
      </w: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pPr>
        <w:pStyle w:val="Heading3"/>
        <w:keepNext/>
        <w:spacing w:before="180" w:after="80"/>
      </w:pPr>
      <w:r>
        <w:rPr>
          <w:rFonts w:ascii="游ゴシック" w:hAnsi="游ゴシック" w:eastAsia="游ゴシック"/>
          <w:b/>
          <w:i w:val="0"/>
          <w:color w:val="1F4D78"/>
          <w:sz w:val="22"/>
        </w:rPr>
        <w:t>特定地域（中山間・人口減少地域）</w:t>
      </w:r>
    </w:p>
    <w:p>
      <w:pPr>
        <w:spacing w:before="60" w:after="60"/>
      </w:pPr>
      <w:r>
        <w:rPr>
          <w:rFonts w:ascii="游ゴシック" w:hAnsi="游ゴシック" w:eastAsia="游ゴシック"/>
          <w:b/>
          <w:i w:val="0"/>
          <w:sz w:val="21"/>
        </w:rPr>
        <w:t>令和9年4月1日から、「特定地域障害福祉サービス」の仕組みが設けられます</w:t>
      </w:r>
      <w:r>
        <w:rPr>
          <w:rFonts w:ascii="游ゴシック" w:hAnsi="游ゴシック" w:eastAsia="游ゴシック"/>
          <w:b w:val="0"/>
          <w:i w:val="0"/>
          <w:sz w:val="21"/>
        </w:rPr>
        <w:t>（改正後の障害者総合支援法第30条第1項第3号。障がい児の通所支援は児童福祉法第21条の5の4第1項第3号の「特定地域通所支援」）。特定地域とは、「人口の減少その他の主務省令で定める基準に該当する地域として都道府県が定めるもの」をいいます。特定地域にある事業所は、指定障害福祉サービスの基準のうち都道府県の条例で定めるものを満たせば、サービスを提供できます。</w:t>
      </w:r>
      <w:r>
        <w:rPr>
          <w:rFonts w:ascii="游ゴシック" w:hAnsi="游ゴシック" w:eastAsia="游ゴシック"/>
          <w:b/>
          <w:i w:val="0"/>
          <w:sz w:val="21"/>
        </w:rPr>
        <w:t>人員の配置基準を地域の実情に応じて緩める仕組みであり、町内に整備されていないサービスが多い本町にとって、見込量を確保する方策の選択肢になります。</w:t>
      </w:r>
    </w:p>
    <w:p>
      <w:pPr>
        <w:spacing w:before="60" w:after="60"/>
      </w:pPr>
      <w:r>
        <w:rPr>
          <w:rFonts w:ascii="游ゴシック" w:hAnsi="游ゴシック" w:eastAsia="游ゴシック"/>
          <w:b/>
          <w:i w:val="0"/>
          <w:sz w:val="21"/>
        </w:rPr>
        <w:t>国が示した基準の考え方（案）では、現行の特別地域加算等の対象地域は、全部指定・一部指定のいずれもすべて対象とされています。</w:t>
      </w:r>
      <w:r>
        <w:rPr>
          <w:rFonts w:ascii="游ゴシック" w:hAnsi="游ゴシック" w:eastAsia="游ゴシック"/>
          <w:b w:val="0"/>
          <w:i w:val="0"/>
          <w:sz w:val="21"/>
        </w:rPr>
        <w:t xml:space="preserve"> 本町は町全域が過疎地域（過疎地域の持続的発展の支援に関する特別措置法第2条第1項）であり、旧夏井村の区域は振興山村（山村振興法第7条第1項）です。いずれも特別地域加算等の対象地域に当たるため、</w:t>
      </w:r>
      <w:r>
        <w:rPr>
          <w:rFonts w:ascii="游ゴシック" w:hAnsi="游ゴシック" w:eastAsia="游ゴシック"/>
          <w:b/>
          <w:i w:val="0"/>
          <w:sz w:val="21"/>
        </w:rPr>
        <w:t>本町は町全域が特定地域の対象となる見込みです。</w:t>
      </w:r>
    </w:p>
    <w:p>
      <w:pPr>
        <w:spacing w:before="60" w:after="60"/>
      </w:pPr>
      <w:r>
        <w:rPr>
          <w:rFonts w:ascii="游ゴシック" w:hAnsi="游ゴシック" w:eastAsia="游ゴシック"/>
          <w:b/>
          <w:i w:val="0"/>
          <w:sz w:val="21"/>
        </w:rPr>
        <w:t>ただし、基準は主務省令で定められ、指定は県が市町村の意向を踏まえて行います。対象となるサービスと人員配置基準も、障害福祉報酬改定の中で検討されています。</w:t>
      </w:r>
      <w:r>
        <w:rPr>
          <w:rFonts w:ascii="游ゴシック" w:hAnsi="游ゴシック" w:eastAsia="游ゴシック"/>
          <w:b w:val="0"/>
          <w:i w:val="0"/>
          <w:sz w:val="21"/>
        </w:rPr>
        <w:t xml:space="preserve"> 省令と県の方針が示された段階で、本町の意向を整理し、本章に反映します（【決定後に記載】）。</w:t>
      </w:r>
    </w:p>
    <w:p>
      <w:pPr>
        <w:spacing w:before="40" w:after="160"/>
        <w:ind w:left="113"/>
      </w:pPr>
      <w:r>
        <w:rPr>
          <w:rFonts w:ascii="游ゴシック" w:hAnsi="游ゴシック" w:eastAsia="游ゴシック"/>
          <w:b w:val="0"/>
          <w:i w:val="0"/>
          <w:sz w:val="17"/>
        </w:rPr>
        <w:t>資料：第160回社会保障審議会障害者部会 資料2「障害福祉分野における特定地域（中山間・人口減少地域）の考え方について」（令和8年10月20日）。条文は e-Gov 法令API（令和9年4月1日時点）で確認した。</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【表34】第4部1　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spacing w:before="40" w:after="160"/>
        <w:ind w:left="113"/>
      </w:pPr>
      <w:r>
        <w:rPr>
          <w:rFonts w:ascii="游ゴシック" w:hAnsi="游ゴシック" w:eastAsia="游ゴシック"/>
          <w:b/>
          <w:i w:val="0"/>
          <w:sz w:val="17"/>
        </w:rPr>
        <w:t>※ 条文が名指ししている会議体は2つではなく5つです。</w:t>
      </w:r>
      <w:r>
        <w:rPr>
          <w:rFonts w:ascii="游ゴシック" w:hAnsi="游ゴシック" w:eastAsia="游ゴシック"/>
          <w:b w:val="0"/>
          <w:i w:val="0"/>
          <w:sz w:val="17"/>
        </w:rPr>
        <w:t xml:space="preserve"> 障害者総合支援法第89条の3第5項（改正後）は、介護保険法第115条の48第1項の支援会議のほか、</w:t>
      </w:r>
      <w:r>
        <w:rPr>
          <w:rFonts w:ascii="游ゴシック" w:hAnsi="游ゴシック" w:eastAsia="游ゴシック"/>
          <w:b/>
          <w:i w:val="0"/>
          <w:sz w:val="17"/>
        </w:rPr>
        <w:t>社会福祉法第106条の3の2第1項の支援会議、住宅確保要配慮者に対する賃貸住宅の供給の促進に関する法律第81条第1項の支援協議会（居住支援協議会）、生活困窮者自立支援法第9条第1項の支援会議</w:t>
      </w:r>
      <w:r>
        <w:rPr>
          <w:rFonts w:ascii="游ゴシック" w:hAnsi="游ゴシック" w:eastAsia="游ゴシック"/>
          <w:b w:val="0"/>
          <w:i w:val="0"/>
          <w:sz w:val="17"/>
        </w:rPr>
        <w:t>、その他支援体制の構築に資する会議を挙げ、これらが組織され又は置かれているときは相互に連携を図るよう努めなければならないとしています。</w:t>
      </w:r>
      <w:r>
        <w:rPr>
          <w:rFonts w:ascii="游ゴシック" w:hAnsi="游ゴシック" w:eastAsia="游ゴシック"/>
          <w:b/>
          <w:i w:val="0"/>
          <w:sz w:val="17"/>
        </w:rPr>
        <w:t>同条は改正により全6項から全7項になります。</w:t>
      </w:r>
      <w:r>
        <w:rPr>
          <w:rFonts w:ascii="游ゴシック" w:hAnsi="游ゴシック" w:eastAsia="游ゴシック"/>
          <w:b w:val="0"/>
          <w:i w:val="0"/>
          <w:sz w:val="17"/>
        </w:rPr>
        <w:t xml:space="preserve"> 本町に置かれている会議体を確かめたうえで、連携の場と頻度を定めます。</w:t>
      </w:r>
    </w:p>
    <w:p>
      <w:pPr>
        <w:spacing w:before="40" w:after="160"/>
        <w:ind w:left="113"/>
      </w:pPr>
      <w:r>
        <w:rPr>
          <w:rFonts w:ascii="游ゴシック" w:hAnsi="游ゴシック" w:eastAsia="游ゴシック"/>
          <w:b w:val="0"/>
          <w:i w:val="0"/>
          <w:sz w:val="17"/>
        </w:rPr>
        <w:t>出所：障害者総合支援法（平成17年法律第123号）及び介護保険法（平成9年法律第123号）令和9年4月1日時点。e-Gov 法令API（デジタル庁）により令和8年10月19日に取得。</w:t>
      </w:r>
    </w:p>
    <w:p>
      <w:pPr>
        <w:spacing w:after="120"/>
      </w:pPr>
    </w:p>
    <w:p>
      <w:pPr>
        <w:pStyle w:val="Heading2"/>
        <w:keepNext/>
        <w:spacing w:before="180" w:after="100"/>
      </w:pPr>
      <w:bookmarkStart w:id="123" w:name="_Toc_023"/>
      <w:r>
        <w:rPr>
          <w:rFonts w:ascii="游ゴシック" w:hAnsi="游ゴシック" w:eastAsia="游ゴシック"/>
          <w:b/>
          <w:i w:val="0"/>
          <w:color w:val="2E74B5"/>
          <w:sz w:val="25"/>
        </w:rPr>
        <w:t>（参考）小規模市町村地域支援連携協働体制整備事業（令和9年4月1日新設）</w:t>
      </w:r>
      <w:bookmarkEnd w:id="123"/>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この事業は、障がい分野の事業を、高齢・子ども・生活困窮の各分野の事業と「一体のものとして実施する」ものです</w:t>
      </w:r>
      <w:r>
        <w:rPr>
          <w:rFonts w:ascii="游ゴシック" w:hAnsi="游ゴシック" w:eastAsia="游ゴシック"/>
          <w:b w:val="0"/>
          <w:i w:val="0"/>
          <w:sz w:val="21"/>
        </w:rPr>
        <w:t>（同条第2項）。障がい分野からは次の2つが対象に入ります。</w:t>
      </w:r>
    </w:p>
    <w:p>
      <w:pPr>
        <w:keepNext/>
        <w:spacing w:before="200" w:after="40"/>
      </w:pPr>
      <w:r>
        <w:rPr>
          <w:rFonts w:ascii="游ゴシック" w:hAnsi="游ゴシック" w:eastAsia="游ゴシック"/>
          <w:b/>
          <w:i w:val="0"/>
          <w:color w:val="1F4D78"/>
          <w:sz w:val="22"/>
        </w:rPr>
        <w:t>【表35】第4部（参考）小規模市町村地域支援連携協働体制整備事業（令和9年4月1日新設）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855"/>
        <w:gridCol w:w="442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障がい分野から対象となる事業</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一体に行う相手方</w:t>
            </w:r>
          </w:p>
        </w:tc>
      </w:tr>
      <w:tr>
        <w:tc>
          <w:tcPr>
            <w:tcW w:type="dxa" w:w="1474"/>
            <w:vAlign w:val="center"/>
          </w:tcPr>
          <w:p>
            <w:pPr>
              <w:keepNext/>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br/>
              <w:t>（第2項第1号）</w:t>
            </w:r>
          </w:p>
        </w:tc>
        <w:tc>
          <w:tcPr>
            <w:tcW w:type="dxa" w:w="3855"/>
            <w:vAlign w:val="center"/>
          </w:tcPr>
          <w:p>
            <w:pPr>
              <w:keepNext/>
              <w:spacing w:before="20" w:after="20"/>
            </w:pPr>
            <w:r>
              <w:rPr>
                <w:rFonts w:ascii="游ゴシック" w:hAnsi="游ゴシック" w:eastAsia="游ゴシック"/>
                <w:b/>
                <w:i w:val="0"/>
                <w:sz w:val="17"/>
              </w:rPr>
              <w:t>障害者総合支援法第77条第1項第3号</w:t>
            </w:r>
            <w:r>
              <w:rPr>
                <w:rFonts w:ascii="游ゴシック" w:hAnsi="游ゴシック" w:eastAsia="游ゴシック"/>
                <w:b w:val="0"/>
                <w:i w:val="0"/>
                <w:sz w:val="17"/>
              </w:rPr>
              <w:t>（障がいのある人等からの相談に応じ、必要な情報の提供等を行う事業）</w:t>
            </w:r>
          </w:p>
        </w:tc>
        <w:tc>
          <w:tcPr>
            <w:tcW w:type="dxa" w:w="4422"/>
            <w:vAlign w:val="center"/>
          </w:tcPr>
          <w:p>
            <w:pPr>
              <w:keepNext/>
              <w:spacing w:before="20" w:after="20"/>
            </w:pPr>
            <w:r>
              <w:rPr>
                <w:rFonts w:ascii="游ゴシック" w:hAnsi="游ゴシック" w:eastAsia="游ゴシック"/>
                <w:b w:val="0"/>
                <w:i w:val="0"/>
                <w:sz w:val="17"/>
              </w:rPr>
              <w:t>介護保険法第115条の45第2項第1号から第3号まで（地域包括支援センターの事業）／子ども・子育て支援法第59条第1号／生活困窮者自立支援法第3条第2項各号</w:t>
            </w:r>
          </w:p>
        </w:tc>
      </w:tr>
      <w:tr>
        <w:tc>
          <w:tcPr>
            <w:tcW w:type="dxa" w:w="1474"/>
            <w:vAlign w:val="center"/>
          </w:tcPr>
          <w:p>
            <w:pPr>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br/>
              <w:t>（第2項第3号）</w:t>
            </w:r>
          </w:p>
        </w:tc>
        <w:tc>
          <w:tcPr>
            <w:tcW w:type="dxa" w:w="3855"/>
            <w:vAlign w:val="center"/>
          </w:tcPr>
          <w:p>
            <w:pPr>
              <w:spacing w:before="20" w:after="20"/>
            </w:pPr>
            <w:r>
              <w:rPr>
                <w:rFonts w:ascii="游ゴシック" w:hAnsi="游ゴシック" w:eastAsia="游ゴシック"/>
                <w:b/>
                <w:i w:val="0"/>
                <w:sz w:val="17"/>
              </w:rPr>
              <w:t>障害者総合支援法第77条第1項第9号</w:t>
            </w:r>
            <w:r>
              <w:rPr>
                <w:rFonts w:ascii="游ゴシック" w:hAnsi="游ゴシック" w:eastAsia="游ゴシック"/>
                <w:b w:val="0"/>
                <w:i w:val="0"/>
                <w:sz w:val="17"/>
              </w:rPr>
              <w:t>（創作的活動又は生産活動の機会の提供等＝地域活動支援センターに係る事業）</w:t>
            </w:r>
          </w:p>
        </w:tc>
        <w:tc>
          <w:tcPr>
            <w:tcW w:type="dxa" w:w="4422"/>
            <w:vAlign w:val="center"/>
          </w:tcPr>
          <w:p>
            <w:pPr>
              <w:spacing w:before="20" w:after="20"/>
            </w:pPr>
            <w:r>
              <w:rPr>
                <w:rFonts w:ascii="游ゴシック" w:hAnsi="游ゴシック" w:eastAsia="游ゴシック"/>
                <w:b w:val="0"/>
                <w:i w:val="0"/>
                <w:sz w:val="17"/>
              </w:rPr>
              <w:t>介護保険法第115条の45第1項第2号のうち厚生労働大臣が定めるもの／同条第2項第5号（生活支援体制整備事業）／子ども・子育て支援法第59条第9号</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（社会福祉法施行規則を法令APIで確認。「小規模市町村」の語を含む条は1つもありません）。該当し、かつ本事業を行う場合は、</w:t>
      </w:r>
      <w:r>
        <w:rPr>
          <w:rFonts w:ascii="游ゴシック" w:hAnsi="游ゴシック" w:eastAsia="游ゴシック"/>
          <w:b/>
          <w:i w:val="0"/>
          <w:sz w:val="21"/>
        </w:rPr>
        <w:t>第3部第2章の地域生活支援事業（相談支援事業・地域活動支援センター機能強化事業）の実施体制が変わります。</w:t>
      </w:r>
      <w:r>
        <w:rPr>
          <w:rFonts w:ascii="游ゴシック" w:hAnsi="游ゴシック" w:eastAsia="游ゴシック"/>
          <w:b w:val="0"/>
          <w:i w:val="0"/>
          <w:sz w:val="21"/>
        </w:rPr>
        <w:t xml:space="preserve"> 省令と県の方針が示された段階で改めて整理します。</w:t>
      </w:r>
    </w:p>
    <w:p>
      <w:pPr>
        <w:spacing w:before="40" w:after="160"/>
        <w:ind w:left="113"/>
      </w:pPr>
      <w:r>
        <w:rPr>
          <w:rFonts w:ascii="游ゴシック" w:hAnsi="游ゴシック" w:eastAsia="游ゴシック"/>
          <w:b/>
          <w:i w:val="0"/>
          <w:sz w:val="17"/>
        </w:rPr>
        <w:t>※ 分野を超えて職員を配置できることが、この事業の実益です。</w:t>
      </w:r>
      <w:r>
        <w:rPr>
          <w:rFonts w:ascii="游ゴシック" w:hAnsi="游ゴシック" w:eastAsia="游ゴシック"/>
          <w:b w:val="0"/>
          <w:i w:val="0"/>
          <w:sz w:val="17"/>
        </w:rPr>
        <w:t xml:space="preserve"> 従事する職員及びその員数の基準は厚生労働省令で定められ、小規模市町村はこれに従うものとされます（同条第3項）。また、こども家庭センター、地域包括支援センター、</w:t>
      </w:r>
      <w:r>
        <w:rPr>
          <w:rFonts w:ascii="游ゴシック" w:hAnsi="游ゴシック" w:eastAsia="游ゴシック"/>
          <w:b/>
          <w:i w:val="0"/>
          <w:sz w:val="17"/>
        </w:rPr>
        <w:t>基幹相談支援センター</w:t>
      </w:r>
      <w:r>
        <w:rPr>
          <w:rFonts w:ascii="游ゴシック" w:hAnsi="游ゴシック" w:eastAsia="游ゴシック"/>
          <w:b w:val="0"/>
          <w:i w:val="0"/>
          <w:sz w:val="17"/>
        </w:rPr>
        <w:t>、生活困窮者自立支援法第3条第2項各号の事業を行う者その他の支援関係機関との緊密な連携を図るものとされ（同条第4項）、事務の全部又は一部を厚生労働省令で定める者に委託することができます（同条第5項）。</w:t>
      </w:r>
      <w:r>
        <w:rPr>
          <w:rFonts w:ascii="游ゴシック" w:hAnsi="游ゴシック" w:eastAsia="游ゴシック"/>
          <w:b/>
          <w:i w:val="0"/>
          <w:sz w:val="17"/>
        </w:rPr>
        <w:t>※ 高齢者計画（第4章3）にも同じ内容を記載しています。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24" w:name="_Toc_024"/>
      <w:r>
        <w:rPr>
          <w:rFonts w:ascii="游ゴシック" w:hAnsi="游ゴシック" w:eastAsia="游ゴシック"/>
          <w:b/>
          <w:i w:val="0"/>
          <w:color w:val="2E74B5"/>
          <w:sz w:val="25"/>
        </w:rPr>
        <w:t>3　進行管理と評価</w:t>
      </w:r>
      <w:bookmarkEnd w:id="124"/>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5" w:name="_Toc_025"/>
      <w:r>
        <w:rPr>
          <w:rFonts w:ascii="游ゴシック" w:hAnsi="游ゴシック" w:eastAsia="游ゴシック"/>
          <w:b/>
          <w:i w:val="0"/>
          <w:color w:val="2E74B5"/>
          <w:sz w:val="25"/>
        </w:rPr>
        <w:t>4　計画の周知</w:t>
      </w:r>
      <w:bookmarkEnd w:id="125"/>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6" w:name="_Toc_026"/>
      <w:r>
        <w:rPr>
          <w:rFonts w:ascii="游ゴシック" w:hAnsi="游ゴシック" w:eastAsia="游ゴシック"/>
          <w:b/>
          <w:i w:val="0"/>
          <w:color w:val="2E74B5"/>
          <w:sz w:val="30"/>
        </w:rPr>
        <w:t>資料編</w:t>
      </w:r>
      <w:bookmarkEnd w:id="126"/>
    </w:p>
    <w:p>
      <w:pPr>
        <w:pStyle w:val="Heading2"/>
        <w:keepNext/>
        <w:spacing w:before="180" w:after="100"/>
      </w:pPr>
      <w:bookmarkStart w:id="127" w:name="_Toc_027"/>
      <w:r>
        <w:rPr>
          <w:rFonts w:ascii="游ゴシック" w:hAnsi="游ゴシック" w:eastAsia="游ゴシック"/>
          <w:b/>
          <w:i w:val="0"/>
          <w:color w:val="2E74B5"/>
          <w:sz w:val="25"/>
        </w:rPr>
        <w:t>1　計画の策定経過</w:t>
      </w:r>
      <w:bookmarkEnd w:id="127"/>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8" w:name="_Toc_028"/>
      <w:r>
        <w:rPr>
          <w:rFonts w:ascii="游ゴシック" w:hAnsi="游ゴシック" w:eastAsia="游ゴシック"/>
          <w:b/>
          <w:i w:val="0"/>
          <w:color w:val="2E74B5"/>
          <w:sz w:val="25"/>
        </w:rPr>
        <w:t>2　小野町自立支援協議会委員名簿</w:t>
      </w:r>
      <w:bookmarkEnd w:id="128"/>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9" w:name="_Toc_029"/>
      <w:r>
        <w:rPr>
          <w:rFonts w:ascii="游ゴシック" w:hAnsi="游ゴシック" w:eastAsia="游ゴシック"/>
          <w:b/>
          <w:i w:val="0"/>
          <w:color w:val="2E74B5"/>
          <w:sz w:val="25"/>
        </w:rPr>
        <w:t>3　パブリックコメントの結果</w:t>
      </w:r>
      <w:bookmarkEnd w:id="129"/>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30" w:name="_Toc_030"/>
      <w:r>
        <w:rPr>
          <w:rFonts w:ascii="游ゴシック" w:hAnsi="游ゴシック" w:eastAsia="游ゴシック"/>
          <w:b/>
          <w:i w:val="0"/>
          <w:color w:val="2E74B5"/>
          <w:sz w:val="25"/>
        </w:rPr>
        <w:t>4　用語の説明</w:t>
      </w:r>
      <w:bookmarkEnd w:id="130"/>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1" w:name="_Toc_031"/>
      <w:r>
        <w:rPr>
          <w:rFonts w:ascii="游ゴシック" w:hAnsi="游ゴシック" w:eastAsia="游ゴシック"/>
          <w:b/>
          <w:i w:val="0"/>
          <w:color w:val="2E74B5"/>
          <w:sz w:val="25"/>
        </w:rPr>
        <w:t>5　関係法令</w:t>
      </w:r>
      <w:bookmarkEnd w:id="131"/>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