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令和8年9月15日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237,980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1,019,104</w:t>
            </w:r>
          </w:p>
        </w:tc>
        <w:tc>
          <w:tcPr>
            <w:tcW w:type="dxa" w:w="1728"/>
          </w:tcPr>
          <w:p>
            <w:pPr>
              <w:jc w:val="right"/>
            </w:pPr>
            <w:r>
              <w:rPr>
                <w:sz w:val="18"/>
              </w:rPr>
              <w:t>+16,088</w:t>
            </w:r>
          </w:p>
        </w:tc>
        <w:tc>
          <w:tcPr>
            <w:tcW w:type="dxa" w:w="1728"/>
          </w:tcPr>
          <w:p>
            <w:pPr>
              <w:jc w:val="right"/>
            </w:pPr>
            <w:r>
              <w:rPr>
                <w:sz w:val="18"/>
              </w:rPr>
              <w:t>+1.6％</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1,016,139</w:t>
            </w:r>
          </w:p>
        </w:tc>
        <w:tc>
          <w:tcPr>
            <w:tcW w:type="dxa" w:w="1728"/>
          </w:tcPr>
          <w:p>
            <w:pPr>
              <w:jc w:val="right"/>
            </w:pPr>
            <w:r>
              <w:rPr>
                <w:sz w:val="18"/>
              </w:rPr>
              <w:t>+24,044</w:t>
            </w:r>
          </w:p>
        </w:tc>
        <w:tc>
          <w:tcPr>
            <w:tcW w:type="dxa" w:w="1728"/>
          </w:tcPr>
          <w:p>
            <w:pPr>
              <w:jc w:val="right"/>
            </w:pPr>
            <w:r>
              <w:rPr>
                <w:sz w:val="18"/>
              </w:rPr>
              <w:t>+2.4％</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1,013,175</w:t>
            </w:r>
          </w:p>
        </w:tc>
        <w:tc>
          <w:tcPr>
            <w:tcW w:type="dxa" w:w="1728"/>
          </w:tcPr>
          <w:p>
            <w:pPr>
              <w:jc w:val="right"/>
            </w:pPr>
            <w:r>
              <w:rPr>
                <w:sz w:val="18"/>
              </w:rPr>
              <w:t>+12,745</w:t>
            </w:r>
          </w:p>
        </w:tc>
        <w:tc>
          <w:tcPr>
            <w:tcW w:type="dxa" w:w="1728"/>
          </w:tcPr>
          <w:p>
            <w:pPr>
              <w:jc w:val="right"/>
            </w:pPr>
            <w:r>
              <w:rPr>
                <w:sz w:val="18"/>
              </w:rPr>
              <w:t>+1.3％</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3,048,418</w:t>
            </w:r>
          </w:p>
        </w:tc>
        <w:tc>
          <w:tcPr>
            <w:tcW w:type="dxa" w:w="1728"/>
          </w:tcPr>
          <w:p>
            <w:pPr>
              <w:jc w:val="right"/>
            </w:pPr>
            <w:r>
              <w:rPr>
                <w:sz w:val="18"/>
              </w:rPr>
              <w:t>+52,877</w:t>
            </w:r>
          </w:p>
        </w:tc>
        <w:tc>
          <w:tcPr>
            <w:tcW w:type="dxa" w:w="1728"/>
          </w:tcPr>
          <w:p>
            <w:pPr>
              <w:jc w:val="right"/>
            </w:pPr>
            <w:r>
              <w:rPr>
                <w:sz w:val="18"/>
              </w:rPr>
              <w:t>+1.7％</w:t>
            </w:r>
          </w:p>
        </w:tc>
      </w:tr>
    </w:tbl>
    <w:p/>
    <w:p>
      <w:r>
        <w:t>第1号被保険者数も、見える化の第10期3年計10,275人に対し、こちらが用いている第10期将来推計用推計人口では10,284人で、差は9人（0.09％）です。認定者数は見える化が令和9年度849人・令和10年度850人・令和11年度841人としてい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42,529</w:t>
            </w:r>
          </w:p>
        </w:tc>
        <w:tc>
          <w:tcPr>
            <w:tcW w:type="dxa" w:w="2160"/>
          </w:tcPr>
          <w:p>
            <w:pPr>
              <w:jc w:val="right"/>
            </w:pPr>
            <w:r>
              <w:rPr>
                <w:sz w:val="18"/>
              </w:rPr>
              <w:t>+85,546</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611,521</w:t>
            </w:r>
          </w:p>
        </w:tc>
        <w:tc>
          <w:tcPr>
            <w:tcW w:type="dxa" w:w="2160"/>
          </w:tcPr>
          <w:p>
            <w:pPr>
              <w:jc w:val="right"/>
            </w:pPr>
            <w:r>
              <w:rPr>
                <w:sz w:val="18"/>
              </w:rPr>
              <w:t>+84,395</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401,384</w:t>
            </w:r>
          </w:p>
        </w:tc>
        <w:tc>
          <w:tcPr>
            <w:tcW w:type="dxa" w:w="2160"/>
          </w:tcPr>
          <w:p>
            <w:pPr>
              <w:jc w:val="right"/>
            </w:pPr>
            <w:r>
              <w:rPr>
                <w:sz w:val="18"/>
              </w:rPr>
              <w:t>-68,545</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388,578</w:t>
            </w:r>
          </w:p>
        </w:tc>
        <w:tc>
          <w:tcPr>
            <w:tcW w:type="dxa" w:w="2160"/>
          </w:tcPr>
          <w:p>
            <w:pPr>
              <w:jc w:val="right"/>
            </w:pPr>
            <w:r>
              <w:rPr>
                <w:sz w:val="18"/>
              </w:rPr>
              <w:t>-42,030</w:t>
            </w:r>
          </w:p>
        </w:tc>
      </w:tr>
      <w:tr>
        <w:tc>
          <w:tcPr>
            <w:tcW w:type="dxa" w:w="2160"/>
          </w:tcPr>
          <w:p>
            <w:r>
              <w:rPr>
                <w:sz w:val="18"/>
              </w:rPr>
              <w:t>介護老人保健施設</w:t>
            </w:r>
          </w:p>
        </w:tc>
        <w:tc>
          <w:tcPr>
            <w:tcW w:type="dxa" w:w="2160"/>
          </w:tcPr>
          <w:p>
            <w:pPr>
              <w:jc w:val="right"/>
            </w:pPr>
            <w:r>
              <w:rPr>
                <w:sz w:val="18"/>
              </w:rPr>
              <w:t>257,049</w:t>
            </w:r>
          </w:p>
        </w:tc>
        <w:tc>
          <w:tcPr>
            <w:tcW w:type="dxa" w:w="2160"/>
          </w:tcPr>
          <w:p>
            <w:pPr>
              <w:jc w:val="right"/>
            </w:pPr>
            <w:r>
              <w:rPr>
                <w:sz w:val="18"/>
              </w:rPr>
              <w:t>290,341</w:t>
            </w:r>
          </w:p>
        </w:tc>
        <w:tc>
          <w:tcPr>
            <w:tcW w:type="dxa" w:w="2160"/>
          </w:tcPr>
          <w:p>
            <w:pPr>
              <w:jc w:val="right"/>
            </w:pPr>
            <w:r>
              <w:rPr>
                <w:sz w:val="18"/>
              </w:rPr>
              <w:t>-33,292</w:t>
            </w:r>
          </w:p>
        </w:tc>
      </w:tr>
      <w:tr>
        <w:tc>
          <w:tcPr>
            <w:tcW w:type="dxa" w:w="2160"/>
          </w:tcPr>
          <w:p>
            <w:r>
              <w:rPr>
                <w:sz w:val="18"/>
              </w:rPr>
              <w:t>通所介護</w:t>
            </w:r>
          </w:p>
        </w:tc>
        <w:tc>
          <w:tcPr>
            <w:tcW w:type="dxa" w:w="2160"/>
          </w:tcPr>
          <w:p>
            <w:pPr>
              <w:jc w:val="right"/>
            </w:pPr>
            <w:r>
              <w:rPr>
                <w:sz w:val="18"/>
              </w:rPr>
              <w:t>442,395</w:t>
            </w:r>
          </w:p>
        </w:tc>
        <w:tc>
          <w:tcPr>
            <w:tcW w:type="dxa" w:w="2160"/>
          </w:tcPr>
          <w:p>
            <w:pPr>
              <w:jc w:val="right"/>
            </w:pPr>
            <w:r>
              <w:rPr>
                <w:sz w:val="18"/>
              </w:rPr>
              <w:t>469,532</w:t>
            </w:r>
          </w:p>
        </w:tc>
        <w:tc>
          <w:tcPr>
            <w:tcW w:type="dxa" w:w="2160"/>
          </w:tcPr>
          <w:p>
            <w:pPr>
              <w:jc w:val="right"/>
            </w:pPr>
            <w:r>
              <w:rPr>
                <w:sz w:val="18"/>
              </w:rPr>
              <w:t>-27,137</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85,701</w:t>
            </w:r>
          </w:p>
        </w:tc>
        <w:tc>
          <w:tcPr>
            <w:tcW w:type="dxa" w:w="2160"/>
          </w:tcPr>
          <w:p>
            <w:pPr>
              <w:jc w:val="right"/>
            </w:pPr>
            <w:r>
              <w:rPr>
                <w:sz w:val="18"/>
              </w:rPr>
              <w:t>+25,348</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154,975</w:t>
            </w:r>
          </w:p>
        </w:tc>
        <w:tc>
          <w:tcPr>
            <w:tcW w:type="dxa" w:w="2160"/>
          </w:tcPr>
          <w:p>
            <w:pPr>
              <w:jc w:val="right"/>
            </w:pPr>
            <w:r>
              <w:rPr>
                <w:sz w:val="18"/>
              </w:rPr>
              <w:t>+22,649</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この修正で、総給付費の第10期3年計は3,089,383千円から3,048,418千円へ、46,317千円（1.5％）下がりました。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6,569円</w:t>
            </w:r>
          </w:p>
        </w:tc>
        <w:tc>
          <w:tcPr>
            <w:tcW w:type="dxa" w:w="2880"/>
          </w:tcPr>
          <w:p>
            <w:pPr>
              <w:jc w:val="right"/>
            </w:pPr>
            <w:r>
              <w:rPr>
                <w:sz w:val="18"/>
              </w:rPr>
              <w:t>-31円</w:t>
            </w:r>
          </w:p>
        </w:tc>
      </w:tr>
      <w:tr>
        <w:tc>
          <w:tcPr>
            <w:tcW w:type="dxa" w:w="2880"/>
          </w:tcPr>
          <w:p>
            <w:r>
              <w:rPr>
                <w:sz w:val="18"/>
              </w:rPr>
              <w:t>準備基金12,000千円を全額取り崩す場合</w:t>
            </w:r>
          </w:p>
        </w:tc>
        <w:tc>
          <w:tcPr>
            <w:tcW w:type="dxa" w:w="2880"/>
          </w:tcPr>
          <w:p>
            <w:pPr>
              <w:jc w:val="right"/>
            </w:pPr>
            <w:r>
              <w:rPr>
                <w:sz w:val="18"/>
              </w:rPr>
              <w:t>6,466円</w:t>
            </w:r>
          </w:p>
        </w:tc>
        <w:tc>
          <w:tcPr>
            <w:tcW w:type="dxa" w:w="2880"/>
          </w:tcPr>
          <w:p>
            <w:pPr>
              <w:jc w:val="right"/>
            </w:pPr>
            <w:r>
              <w:rPr>
                <w:sz w:val="18"/>
              </w:rPr>
              <w:t>-134円</w:t>
            </w:r>
          </w:p>
        </w:tc>
      </w:tr>
      <w:tr>
        <w:tc>
          <w:tcPr>
            <w:tcW w:type="dxa" w:w="2880"/>
          </w:tcPr>
          <w:p>
            <w:r>
              <w:rPr>
                <w:sz w:val="18"/>
              </w:rPr>
              <w:t>第9期と同じ35,000千円を取り崩す場合</w:t>
            </w:r>
          </w:p>
        </w:tc>
        <w:tc>
          <w:tcPr>
            <w:tcW w:type="dxa" w:w="2880"/>
          </w:tcPr>
          <w:p>
            <w:pPr>
              <w:jc w:val="right"/>
            </w:pPr>
            <w:r>
              <w:rPr>
                <w:sz w:val="18"/>
              </w:rPr>
              <w:t>6,270円</w:t>
            </w:r>
          </w:p>
        </w:tc>
        <w:tc>
          <w:tcPr>
            <w:tcW w:type="dxa" w:w="2880"/>
          </w:tcPr>
          <w:p>
            <w:pPr>
              <w:jc w:val="right"/>
            </w:pPr>
            <w:r>
              <w:rPr>
                <w:sz w:val="18"/>
              </w:rPr>
              <w:t>-330円</w:t>
            </w:r>
          </w:p>
        </w:tc>
      </w:tr>
    </w:tbl>
    <w:p/>
    <w:p>
      <w:r>
        <w:t>いずれも第9期の6,600円を下回ります。ただし第1号被保険者負担割合が24％になると6,867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第10期3年計で237,980千円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見込交付割合5.963％</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