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141件（条件付き58件・送付52件・内部保管26件・対象外5件）と計画素案（1062段落156表36図）です。ビルドスクリプトは138本あり、うち49本が自らの計算を検算する自己点検を備えています（計989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自己点検を備えたスクリプト（49本・計989件）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build_receipt_kyufuhi_bunkakai.py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build_receipt_jorei.py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build_receipt_bunkakai_gentyo.py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build_receipt_yoko.py</w:t>
            </w:r>
          </w:p>
        </w:tc>
        <w:tc>
          <w:tcPr>
            <w:tcW w:type="dxa" w:w="907"/>
            <w:shd w:val="clear" w:color="auto" w:fill="F2F5FA"/>
            <w:vAlign w:val="center"/>
          </w:tcPr>
          <w:p>
            <w:pPr>
              <w:spacing w:after="0"/>
              <w:jc w:val="center"/>
            </w:pPr>
            <w:r>
              <w:rPr>
                <w:rFonts w:ascii="游ゴシック" w:hAnsi="游ゴシック" w:eastAsia="游ゴシック"/>
                <w:b w:val="0"/>
                <w:sz w:val="16"/>
              </w:rPr>
              <w:t>30件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build_shokai_kaito.py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build_jizen_uchiawase.py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build_receipt_sansho.py</w:t>
            </w:r>
          </w:p>
        </w:tc>
        <w:tc>
          <w:tcPr>
            <w:tcW w:type="dxa" w:w="907"/>
            <w:vAlign w:val="center"/>
          </w:tcPr>
          <w:p>
            <w:pPr>
              <w:spacing w:after="0"/>
              <w:jc w:val="center"/>
            </w:pPr>
            <w:r>
              <w:rPr>
                <w:rFonts w:ascii="游ゴシック" w:hAnsi="游ゴシック" w:eastAsia="游ゴシック"/>
                <w:b w:val="0"/>
                <w:sz w:val="16"/>
              </w:rPr>
              <w:t>24件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build_shiryo_chokyu.py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build_cohort_review.py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1062段落156表36図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発注者・委員会・住民の目に触れるもの。未確定箇所が275箇所（要協議158・要確認115・要内訳2）残っている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確認事項189件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現在275箇所（要協議158・要確認115・要内訳2）です。うち第6章第4節（施設の見込み）に58箇所（43％）が集中しており、日常生活圏域と必要利用定員総数（確認事項No.88）が決まれば解消します。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自己点検を備えた49本を順に実行し、終了コードが0であることを確かめます。1件でも合わなければ終了コード1で終わり、不適合の内容が表示されます。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再実行できない3本（第2節3）は除いています。自己点検を持たないスクリプトも実行されますが、書き出しに失敗すればやはり0以外で終わります。自己点検を備えた49本は第3節1の表のとおりです。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