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4"/>
        </w:rPr>
        <w:t>大雪地区広域連合　第10期介護保険事業計画策定支援業務</w:t>
      </w:r>
    </w:p>
    <w:p>
      <w:pPr>
        <w:spacing w:after="40"/>
        <w:jc w:val="center"/>
      </w:pPr>
      <w:r>
        <w:rPr>
          <w:rFonts w:ascii="游ゴシック" w:hAnsi="游ゴシック" w:eastAsia="游ゴシック"/>
          <w:b/>
          <w:color w:val="1F3864"/>
          <w:sz w:val="34"/>
        </w:rPr>
        <w:t>サービス見込量の算定に要する資料と　電話照会の進め方</w:t>
      </w:r>
    </w:p>
    <w:p>
      <w:pPr>
        <w:spacing w:after="80"/>
        <w:jc w:val="center"/>
      </w:pPr>
      <w:r>
        <w:rPr>
          <w:rFonts w:ascii="游ゴシック" w:hAnsi="游ゴシック" w:eastAsia="游ゴシック"/>
          <w:b w:val="0"/>
          <w:sz w:val="20"/>
        </w:rPr>
        <w:t>基準日　令和8年9月17日　　受託者　ビズアップ公共コンサルティング株式会社</w:t>
      </w:r>
    </w:p>
    <w:p>
      <w:pPr>
        <w:spacing w:after="80"/>
      </w:pPr>
      <w:r>
        <w:rPr>
          <w:rFonts w:ascii="游ゴシック" w:hAnsi="游ゴシック" w:eastAsia="游ゴシック"/>
          <w:b w:val="0"/>
          <w:sz w:val="21"/>
        </w:rPr>
      </w:r>
    </w:p>
    <w:p>
      <w:pPr>
        <w:spacing w:after="80"/>
      </w:pPr>
      <w:r>
        <w:rPr>
          <w:rFonts w:ascii="游ゴシック" w:hAnsi="游ゴシック" w:eastAsia="游ゴシック"/>
          <w:b w:val="0"/>
          <w:sz w:val="21"/>
        </w:rPr>
        <w:t>本書は、サービス見込量の算定を進めるうえで、何が届かないと何が止まるのかを一覧にし、届かない場合に当方がどう置くか（既定値）を示したうえで、電話で照会するときの言い方の例を添えたものです。</w:t>
      </w:r>
    </w:p>
    <w:p>
      <w:pPr>
        <w:spacing w:after="80"/>
      </w:pPr>
      <w:r>
        <w:rPr>
          <w:rFonts w:ascii="游ゴシック" w:hAnsi="游ゴシック" w:eastAsia="游ゴシック"/>
          <w:b w:val="0"/>
          <w:sz w:val="21"/>
        </w:rPr>
        <w:t>直近の工程は、サービス見込量 第2次概算（令和8年10月30日）と予算編成用（令和8年11月13日）です。第1次概算（令和8年9月26日）は、資料が届かないものを既定値で置いて算定を終えており、提示できる状態にあります。</w:t>
      </w:r>
    </w:p>
    <w:p>
      <w:pPr>
        <w:keepNext/>
        <w:spacing w:before="280" w:after="120"/>
      </w:pPr>
      <w:r>
        <w:rPr>
          <w:rFonts w:ascii="游ゴシック" w:hAnsi="游ゴシック" w:eastAsia="游ゴシック"/>
          <w:b/>
          <w:color w:val="1F3864"/>
          <w:sz w:val="26"/>
        </w:rPr>
        <w:t>第1節　見込量の算定に要する資料</w:t>
      </w:r>
    </w:p>
    <w:p>
      <w:pPr>
        <w:keepNext/>
        <w:spacing w:before="180" w:after="60"/>
      </w:pPr>
      <w:r>
        <w:rPr>
          <w:rFonts w:ascii="游ゴシック" w:hAnsi="游ゴシック" w:eastAsia="游ゴシック"/>
          <w:b/>
          <w:sz w:val="22"/>
        </w:rPr>
        <w:t>１　資料が届かないと算定そのものが止まるもの</w:t>
      </w:r>
    </w:p>
    <w:p>
      <w:pPr>
        <w:spacing w:after="80"/>
      </w:pPr>
      <w:r>
        <w:rPr>
          <w:rFonts w:ascii="游ゴシック" w:hAnsi="游ゴシック" w:eastAsia="游ゴシック"/>
          <w:b w:val="0"/>
          <w:sz w:val="21"/>
        </w:rPr>
        <w:t>現時点で、算定そのものが止まるものはありません。資料が届かないものは既定値で置き、何をどう置いたかを別冊「サービス見込量の算定 第1次概算」15シートに残らず掲げています（23件）。以下は「届けば置き換えられる」という趣旨の一覧です。</w:t>
      </w:r>
    </w:p>
    <w:p>
      <w:pPr>
        <w:keepNext/>
        <w:spacing w:before="180" w:after="60"/>
      </w:pPr>
      <w:r>
        <w:rPr>
          <w:rFonts w:ascii="游ゴシック" w:hAnsi="游ゴシック" w:eastAsia="游ゴシック"/>
          <w:b/>
          <w:sz w:val="22"/>
        </w:rPr>
        <w:t>２　保険料の月額を100円以上動かし得るもの（最優先）</w:t>
      </w:r>
    </w:p>
    <w:p>
      <w:pPr>
        <w:keepNext/>
        <w:spacing w:before="160" w:after="40"/>
      </w:pPr>
      <w:r>
        <w:rPr>
          <w:rFonts w:ascii="游ゴシック" w:hAnsi="游ゴシック" w:eastAsia="游ゴシック"/>
          <w:b/>
          <w:sz w:val="20"/>
        </w:rPr>
        <w:t>表1　月額を100円以上動かし得る資料（3件）</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608"/>
            <w:shd w:val="clear" w:color="auto" w:fill="1F3864"/>
            <w:vAlign w:val="center"/>
          </w:tcPr>
          <w:p>
            <w:pPr>
              <w:spacing w:after="0"/>
              <w:jc w:val="center"/>
            </w:pPr>
            <w:r>
              <w:rPr>
                <w:rFonts w:ascii="游ゴシック" w:hAnsi="游ゴシック" w:eastAsia="游ゴシック"/>
                <w:b/>
                <w:color w:val="FFFFFF"/>
                <w:sz w:val="18"/>
              </w:rPr>
              <w:t>資料</w:t>
            </w:r>
          </w:p>
        </w:tc>
        <w:tc>
          <w:tcPr>
            <w:tcW w:type="dxa" w:w="1474"/>
            <w:shd w:val="clear" w:color="auto" w:fill="1F3864"/>
            <w:vAlign w:val="center"/>
          </w:tcPr>
          <w:p>
            <w:pPr>
              <w:spacing w:after="0"/>
              <w:jc w:val="center"/>
            </w:pPr>
            <w:r>
              <w:rPr>
                <w:rFonts w:ascii="游ゴシック" w:hAnsi="游ゴシック" w:eastAsia="游ゴシック"/>
                <w:b/>
                <w:color w:val="FFFFFF"/>
                <w:sz w:val="18"/>
              </w:rPr>
              <w:t>入手先</w:t>
            </w:r>
          </w:p>
        </w:tc>
        <w:tc>
          <w:tcPr>
            <w:tcW w:type="dxa" w:w="2494"/>
            <w:shd w:val="clear" w:color="auto" w:fill="1F3864"/>
            <w:vAlign w:val="center"/>
          </w:tcPr>
          <w:p>
            <w:pPr>
              <w:spacing w:after="0"/>
              <w:jc w:val="center"/>
            </w:pPr>
            <w:r>
              <w:rPr>
                <w:rFonts w:ascii="游ゴシック" w:hAnsi="游ゴシック" w:eastAsia="游ゴシック"/>
                <w:b/>
                <w:color w:val="FFFFFF"/>
                <w:sz w:val="18"/>
              </w:rPr>
              <w:t>現在の置き方</w:t>
            </w:r>
          </w:p>
        </w:tc>
        <w:tc>
          <w:tcPr>
            <w:tcW w:type="dxa" w:w="3175"/>
            <w:shd w:val="clear" w:color="auto" w:fill="1F3864"/>
            <w:vAlign w:val="center"/>
          </w:tcPr>
          <w:p>
            <w:pPr>
              <w:spacing w:after="0"/>
              <w:jc w:val="center"/>
            </w:pPr>
            <w:r>
              <w:rPr>
                <w:rFonts w:ascii="游ゴシック" w:hAnsi="游ゴシック" w:eastAsia="游ゴシック"/>
                <w:b/>
                <w:color w:val="FFFFFF"/>
                <w:sz w:val="18"/>
              </w:rPr>
              <w:t>届いた場合の効き</w:t>
            </w:r>
          </w:p>
        </w:tc>
      </w:tr>
      <w:tr>
        <w:trPr>
          <w:cantSplit/>
        </w:trPr>
        <w:tc>
          <w:tcPr>
            <w:tcW w:type="dxa" w:w="2608"/>
            <w:vAlign w:val="center"/>
          </w:tcPr>
          <w:p>
            <w:pPr>
              <w:spacing w:after="0"/>
            </w:pPr>
            <w:r>
              <w:rPr>
                <w:rFonts w:ascii="游ゴシック" w:hAnsi="游ゴシック" w:eastAsia="游ゴシック"/>
                <w:b/>
                <w:sz w:val="18"/>
              </w:rPr>
              <w:t>第10期の介護報酬改定率</w:t>
              <w:br/>
              <w:t>（令和9年度は改定の年）</w:t>
            </w:r>
          </w:p>
        </w:tc>
        <w:tc>
          <w:tcPr>
            <w:tcW w:type="dxa" w:w="1474"/>
            <w:vAlign w:val="center"/>
          </w:tcPr>
          <w:p>
            <w:pPr>
              <w:spacing w:after="0"/>
            </w:pPr>
            <w:r>
              <w:rPr>
                <w:rFonts w:ascii="游ゴシック" w:hAnsi="游ゴシック" w:eastAsia="游ゴシック"/>
                <w:b w:val="0"/>
                <w:sz w:val="18"/>
              </w:rPr>
              <w:t>国（告示待ち）</w:t>
            </w:r>
          </w:p>
        </w:tc>
        <w:tc>
          <w:tcPr>
            <w:tcW w:type="dxa" w:w="2494"/>
            <w:vAlign w:val="center"/>
          </w:tcPr>
          <w:p>
            <w:pPr>
              <w:spacing w:after="0"/>
            </w:pPr>
            <w:r>
              <w:rPr>
                <w:rFonts w:ascii="游ゴシック" w:hAnsi="游ゴシック" w:eastAsia="游ゴシック"/>
                <w:b w:val="0"/>
                <w:sz w:val="18"/>
              </w:rPr>
              <w:t>令和7年度の実績単価で固定</w:t>
            </w:r>
          </w:p>
        </w:tc>
        <w:tc>
          <w:tcPr>
            <w:tcW w:type="dxa" w:w="3175"/>
            <w:vAlign w:val="center"/>
          </w:tcPr>
          <w:p>
            <w:pPr>
              <w:spacing w:after="0"/>
            </w:pPr>
            <w:r>
              <w:rPr>
                <w:rFonts w:ascii="游ゴシック" w:hAnsi="游ゴシック" w:eastAsia="游ゴシック"/>
                <w:b w:val="0"/>
                <w:sz w:val="18"/>
              </w:rPr>
              <w:t>改定率1％あたり月額＋61円。</w:t>
              <w:br/>
              <w:t>単価の趨勢を見込まないことは＋245円〜＋327円</w:t>
            </w:r>
          </w:p>
        </w:tc>
      </w:tr>
      <w:tr>
        <w:trPr>
          <w:cantSplit/>
        </w:trPr>
        <w:tc>
          <w:tcPr>
            <w:tcW w:type="dxa" w:w="2608"/>
            <w:shd w:val="clear" w:color="auto" w:fill="F2F5FA"/>
            <w:vAlign w:val="center"/>
          </w:tcPr>
          <w:p>
            <w:pPr>
              <w:spacing w:after="0"/>
            </w:pPr>
            <w:r>
              <w:rPr>
                <w:rFonts w:ascii="游ゴシック" w:hAnsi="游ゴシック" w:eastAsia="游ゴシック"/>
                <w:b/>
                <w:sz w:val="18"/>
              </w:rPr>
              <w:t>第1号被保険者負担割合</w:t>
              <w:br/>
              <w:t>（第10期の政令）</w:t>
            </w:r>
          </w:p>
        </w:tc>
        <w:tc>
          <w:tcPr>
            <w:tcW w:type="dxa" w:w="1474"/>
            <w:shd w:val="clear" w:color="auto" w:fill="F2F5FA"/>
            <w:vAlign w:val="center"/>
          </w:tcPr>
          <w:p>
            <w:pPr>
              <w:spacing w:after="0"/>
            </w:pPr>
            <w:r>
              <w:rPr>
                <w:rFonts w:ascii="游ゴシック" w:hAnsi="游ゴシック" w:eastAsia="游ゴシック"/>
                <w:b w:val="0"/>
                <w:sz w:val="18"/>
              </w:rPr>
              <w:t>国（公布待ち）</w:t>
            </w:r>
          </w:p>
        </w:tc>
        <w:tc>
          <w:tcPr>
            <w:tcW w:type="dxa" w:w="2494"/>
            <w:shd w:val="clear" w:color="auto" w:fill="F2F5FA"/>
            <w:vAlign w:val="center"/>
          </w:tcPr>
          <w:p>
            <w:pPr>
              <w:spacing w:after="0"/>
            </w:pPr>
            <w:r>
              <w:rPr>
                <w:rFonts w:ascii="游ゴシック" w:hAnsi="游ゴシック" w:eastAsia="游ゴシック"/>
                <w:b w:val="0"/>
                <w:sz w:val="18"/>
              </w:rPr>
              <w:t>第9期と同じ23％</w:t>
            </w:r>
          </w:p>
        </w:tc>
        <w:tc>
          <w:tcPr>
            <w:tcW w:type="dxa" w:w="3175"/>
            <w:shd w:val="clear" w:color="auto" w:fill="F2F5FA"/>
            <w:vAlign w:val="center"/>
          </w:tcPr>
          <w:p>
            <w:pPr>
              <w:spacing w:after="0"/>
            </w:pPr>
            <w:r>
              <w:rPr>
                <w:rFonts w:ascii="游ゴシック" w:hAnsi="游ゴシック" w:eastAsia="游ゴシック"/>
                <w:b w:val="0"/>
                <w:sz w:val="18"/>
              </w:rPr>
              <w:t>1ポイントの違いで月額が約290円動く</w:t>
            </w:r>
          </w:p>
        </w:tc>
      </w:tr>
      <w:tr>
        <w:trPr>
          <w:cantSplit/>
        </w:trPr>
        <w:tc>
          <w:tcPr>
            <w:tcW w:type="dxa" w:w="2608"/>
            <w:vAlign w:val="center"/>
          </w:tcPr>
          <w:p>
            <w:pPr>
              <w:spacing w:after="0"/>
            </w:pPr>
            <w:r>
              <w:rPr>
                <w:rFonts w:ascii="游ゴシック" w:hAnsi="游ゴシック" w:eastAsia="游ゴシック"/>
                <w:b/>
                <w:sz w:val="18"/>
              </w:rPr>
              <w:t>令和7年度末の</w:t>
              <w:br/>
              <w:t>介護給付費準備基金残高</w:t>
            </w:r>
          </w:p>
        </w:tc>
        <w:tc>
          <w:tcPr>
            <w:tcW w:type="dxa" w:w="1474"/>
            <w:vAlign w:val="center"/>
          </w:tcPr>
          <w:p>
            <w:pPr>
              <w:spacing w:after="0"/>
            </w:pPr>
            <w:r>
              <w:rPr>
                <w:rFonts w:ascii="游ゴシック" w:hAnsi="游ゴシック" w:eastAsia="游ゴシック"/>
                <w:b w:val="0"/>
                <w:sz w:val="18"/>
              </w:rPr>
              <w:t>発注者</w:t>
            </w:r>
          </w:p>
        </w:tc>
        <w:tc>
          <w:tcPr>
            <w:tcW w:type="dxa" w:w="2494"/>
            <w:vAlign w:val="center"/>
          </w:tcPr>
          <w:p>
            <w:pPr>
              <w:spacing w:after="0"/>
            </w:pPr>
            <w:r>
              <w:rPr>
                <w:rFonts w:ascii="游ゴシック" w:hAnsi="游ゴシック" w:eastAsia="游ゴシック"/>
                <w:b w:val="0"/>
                <w:sz w:val="18"/>
              </w:rPr>
              <w:t>取崩しを行わない（I＝0）</w:t>
            </w:r>
          </w:p>
        </w:tc>
        <w:tc>
          <w:tcPr>
            <w:tcW w:type="dxa" w:w="3175"/>
            <w:vAlign w:val="center"/>
          </w:tcPr>
          <w:p>
            <w:pPr>
              <w:spacing w:after="0"/>
            </w:pPr>
            <w:r>
              <w:rPr>
                <w:rFonts w:ascii="游ゴシック" w:hAnsi="游ゴシック" w:eastAsia="游ゴシック"/>
                <w:b w:val="0"/>
                <w:sz w:val="18"/>
              </w:rPr>
              <w:t>1億円の取崩しで月額が約▲310円</w:t>
            </w:r>
          </w:p>
        </w:tc>
      </w:tr>
    </w:tbl>
    <w:p>
      <w:pPr>
        <w:ind w:left="227"/>
      </w:pPr>
      <w:r>
        <w:rPr>
          <w:rFonts w:ascii="游ゴシック" w:hAnsi="游ゴシック" w:eastAsia="游ゴシック"/>
          <w:sz w:val="18"/>
        </w:rPr>
        <w:t>※ 上の2件は国の告示・公布を待つほかなく、当方から催促できません。基金残高は発注者にご提供いただけるものです。</w:t>
      </w:r>
    </w:p>
    <w:p>
      <w:pPr>
        <w:keepNext/>
        <w:spacing w:before="180" w:after="60"/>
      </w:pPr>
      <w:r>
        <w:rPr>
          <w:rFonts w:ascii="游ゴシック" w:hAnsi="游ゴシック" w:eastAsia="游ゴシック"/>
          <w:b/>
          <w:sz w:val="22"/>
        </w:rPr>
        <w:t>３　法定記載事項を満たすために要るもの</w:t>
      </w:r>
    </w:p>
    <w:p>
      <w:pPr>
        <w:keepNext/>
        <w:spacing w:before="160" w:after="40"/>
      </w:pPr>
      <w:r>
        <w:rPr>
          <w:rFonts w:ascii="游ゴシック" w:hAnsi="游ゴシック" w:eastAsia="游ゴシック"/>
          <w:b/>
          <w:sz w:val="20"/>
        </w:rPr>
        <w:t>表2　記載事項に直結する資料</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8"/>
              </w:rPr>
              <w:t>資料</w:t>
            </w:r>
          </w:p>
        </w:tc>
        <w:tc>
          <w:tcPr>
            <w:tcW w:type="dxa" w:w="1701"/>
            <w:shd w:val="clear" w:color="auto" w:fill="1F3864"/>
            <w:vAlign w:val="center"/>
          </w:tcPr>
          <w:p>
            <w:pPr>
              <w:spacing w:after="0"/>
              <w:jc w:val="center"/>
            </w:pPr>
            <w:r>
              <w:rPr>
                <w:rFonts w:ascii="游ゴシック" w:hAnsi="游ゴシック" w:eastAsia="游ゴシック"/>
                <w:b/>
                <w:color w:val="FFFFFF"/>
                <w:sz w:val="18"/>
              </w:rPr>
              <w:t>入手先</w:t>
            </w:r>
          </w:p>
        </w:tc>
        <w:tc>
          <w:tcPr>
            <w:tcW w:type="dxa" w:w="4195"/>
            <w:shd w:val="clear" w:color="auto" w:fill="1F3864"/>
            <w:vAlign w:val="center"/>
          </w:tcPr>
          <w:p>
            <w:pPr>
              <w:spacing w:after="0"/>
              <w:jc w:val="center"/>
            </w:pPr>
            <w:r>
              <w:rPr>
                <w:rFonts w:ascii="游ゴシック" w:hAnsi="游ゴシック" w:eastAsia="游ゴシック"/>
                <w:b/>
                <w:color w:val="FFFFFF"/>
                <w:sz w:val="18"/>
              </w:rPr>
              <w:t>何が定まらないか</w:t>
            </w:r>
          </w:p>
        </w:tc>
        <w:tc>
          <w:tcPr>
            <w:tcW w:type="dxa" w:w="1361"/>
            <w:shd w:val="clear" w:color="auto" w:fill="1F3864"/>
            <w:vAlign w:val="center"/>
          </w:tcPr>
          <w:p>
            <w:pPr>
              <w:spacing w:after="0"/>
              <w:jc w:val="center"/>
            </w:pPr>
            <w:r>
              <w:rPr>
                <w:rFonts w:ascii="游ゴシック" w:hAnsi="游ゴシック" w:eastAsia="游ゴシック"/>
                <w:b/>
                <w:color w:val="FFFFFF"/>
                <w:sz w:val="18"/>
              </w:rPr>
              <w:t>確認事項</w:t>
            </w:r>
          </w:p>
        </w:tc>
      </w:tr>
      <w:tr>
        <w:trPr>
          <w:cantSplit/>
        </w:trPr>
        <w:tc>
          <w:tcPr>
            <w:tcW w:type="dxa" w:w="2268"/>
            <w:vAlign w:val="center"/>
          </w:tcPr>
          <w:p>
            <w:pPr>
              <w:spacing w:after="0"/>
            </w:pPr>
            <w:r>
              <w:rPr>
                <w:rFonts w:ascii="游ゴシック" w:hAnsi="游ゴシック" w:eastAsia="游ゴシック"/>
                <w:b/>
                <w:sz w:val="18"/>
              </w:rPr>
              <w:t>3町の施設整備・サービス提供方針</w:t>
            </w:r>
          </w:p>
        </w:tc>
        <w:tc>
          <w:tcPr>
            <w:tcW w:type="dxa" w:w="1701"/>
            <w:vAlign w:val="center"/>
          </w:tcPr>
          <w:p>
            <w:pPr>
              <w:spacing w:after="0"/>
            </w:pPr>
            <w:r>
              <w:rPr>
                <w:rFonts w:ascii="游ゴシック" w:hAnsi="游ゴシック" w:eastAsia="游ゴシック"/>
                <w:b w:val="0"/>
                <w:sz w:val="18"/>
              </w:rPr>
              <w:t>3町（東川町は令和8年10月、</w:t>
              <w:br/>
              <w:t>東神楽町は令和8年10月・11月に検討予定）</w:t>
            </w:r>
          </w:p>
        </w:tc>
        <w:tc>
          <w:tcPr>
            <w:tcW w:type="dxa" w:w="4195"/>
            <w:vAlign w:val="center"/>
          </w:tcPr>
          <w:p>
            <w:pPr>
              <w:spacing w:after="0"/>
            </w:pPr>
            <w:r>
              <w:rPr>
                <w:rFonts w:ascii="游ゴシック" w:hAnsi="游ゴシック" w:eastAsia="游ゴシック"/>
                <w:b w:val="0"/>
                <w:sz w:val="18"/>
              </w:rPr>
              <w:t>必要利用定員総数（介護保険法第117条第2項第1号）。</w:t>
              <w:br/>
              <w:t>計画素案 第6章第4節の未確定箇所58箇所がこれで解消する</w:t>
            </w:r>
          </w:p>
        </w:tc>
        <w:tc>
          <w:tcPr>
            <w:tcW w:type="dxa" w:w="1361"/>
            <w:vAlign w:val="center"/>
          </w:tcPr>
          <w:p>
            <w:pPr>
              <w:spacing w:after="0"/>
            </w:pPr>
            <w:r>
              <w:rPr>
                <w:rFonts w:ascii="游ゴシック" w:hAnsi="游ゴシック" w:eastAsia="游ゴシック"/>
                <w:b w:val="0"/>
                <w:sz w:val="18"/>
              </w:rPr>
              <w:t>No.88・No.84</w:t>
            </w:r>
          </w:p>
        </w:tc>
      </w:tr>
      <w:tr>
        <w:trPr>
          <w:cantSplit/>
        </w:trPr>
        <w:tc>
          <w:tcPr>
            <w:tcW w:type="dxa" w:w="2268"/>
            <w:shd w:val="clear" w:color="auto" w:fill="F2F5FA"/>
            <w:vAlign w:val="center"/>
          </w:tcPr>
          <w:p>
            <w:pPr>
              <w:spacing w:after="0"/>
            </w:pPr>
            <w:r>
              <w:rPr>
                <w:rFonts w:ascii="游ゴシック" w:hAnsi="游ゴシック" w:eastAsia="游ゴシック"/>
                <w:b/>
                <w:sz w:val="18"/>
              </w:rPr>
              <w:t>認知症対応型共同生活介護</w:t>
              <w:br/>
              <w:t>くるみの郷の定員</w:t>
            </w:r>
          </w:p>
        </w:tc>
        <w:tc>
          <w:tcPr>
            <w:tcW w:type="dxa" w:w="1701"/>
            <w:shd w:val="clear" w:color="auto" w:fill="F2F5FA"/>
            <w:vAlign w:val="center"/>
          </w:tcPr>
          <w:p>
            <w:pPr>
              <w:spacing w:after="0"/>
            </w:pPr>
            <w:r>
              <w:rPr>
                <w:rFonts w:ascii="游ゴシック" w:hAnsi="游ゴシック" w:eastAsia="游ゴシック"/>
                <w:b w:val="0"/>
                <w:sz w:val="18"/>
              </w:rPr>
              <w:t>東川町</w:t>
            </w:r>
          </w:p>
        </w:tc>
        <w:tc>
          <w:tcPr>
            <w:tcW w:type="dxa" w:w="4195"/>
            <w:shd w:val="clear" w:color="auto" w:fill="F2F5FA"/>
            <w:vAlign w:val="center"/>
          </w:tcPr>
          <w:p>
            <w:pPr>
              <w:spacing w:after="0"/>
            </w:pPr>
            <w:r>
              <w:rPr>
                <w:rFonts w:ascii="游ゴシック" w:hAnsi="游ゴシック" w:eastAsia="游ゴシック"/>
                <w:b w:val="0"/>
                <w:sz w:val="18"/>
              </w:rPr>
              <w:t>区域内定員が99人＋［要確認］のまま。</w:t>
              <w:br/>
              <w:t>北海道の名簿は7事業所108人、見える化は5事業所99人で一致しない</w:t>
            </w:r>
          </w:p>
        </w:tc>
        <w:tc>
          <w:tcPr>
            <w:tcW w:type="dxa" w:w="1361"/>
            <w:shd w:val="clear" w:color="auto" w:fill="F2F5FA"/>
            <w:vAlign w:val="center"/>
          </w:tcPr>
          <w:p>
            <w:pPr>
              <w:spacing w:after="0"/>
            </w:pPr>
            <w:r>
              <w:rPr>
                <w:rFonts w:ascii="游ゴシック" w:hAnsi="游ゴシック" w:eastAsia="游ゴシック"/>
                <w:b w:val="0"/>
                <w:sz w:val="18"/>
              </w:rPr>
              <w:t>No.88</w:t>
            </w:r>
          </w:p>
        </w:tc>
      </w:tr>
      <w:tr>
        <w:trPr>
          <w:cantSplit/>
        </w:trPr>
        <w:tc>
          <w:tcPr>
            <w:tcW w:type="dxa" w:w="2268"/>
            <w:vAlign w:val="center"/>
          </w:tcPr>
          <w:p>
            <w:pPr>
              <w:spacing w:after="0"/>
            </w:pPr>
            <w:r>
              <w:rPr>
                <w:rFonts w:ascii="游ゴシック" w:hAnsi="游ゴシック" w:eastAsia="游ゴシック"/>
                <w:b/>
                <w:sz w:val="18"/>
              </w:rPr>
              <w:t>特定施設の類型</w:t>
              <w:br/>
              <w:t>（混合型・介護専用型）</w:t>
            </w:r>
          </w:p>
        </w:tc>
        <w:tc>
          <w:tcPr>
            <w:tcW w:type="dxa" w:w="1701"/>
            <w:vAlign w:val="center"/>
          </w:tcPr>
          <w:p>
            <w:pPr>
              <w:spacing w:after="0"/>
            </w:pPr>
            <w:r>
              <w:rPr>
                <w:rFonts w:ascii="游ゴシック" w:hAnsi="游ゴシック" w:eastAsia="游ゴシック"/>
                <w:b w:val="0"/>
                <w:sz w:val="18"/>
              </w:rPr>
              <w:t>北海道・発注者</w:t>
            </w:r>
          </w:p>
        </w:tc>
        <w:tc>
          <w:tcPr>
            <w:tcW w:type="dxa" w:w="4195"/>
            <w:vAlign w:val="center"/>
          </w:tcPr>
          <w:p>
            <w:pPr>
              <w:spacing w:after="0"/>
            </w:pPr>
            <w:r>
              <w:rPr>
                <w:rFonts w:ascii="游ゴシック" w:hAnsi="游ゴシック" w:eastAsia="游ゴシック"/>
                <w:b w:val="0"/>
                <w:sz w:val="18"/>
              </w:rPr>
              <w:t>混合型特定施設の必要利用定員総数を定めるかどうか</w:t>
            </w:r>
          </w:p>
        </w:tc>
        <w:tc>
          <w:tcPr>
            <w:tcW w:type="dxa" w:w="1361"/>
            <w:vAlign w:val="center"/>
          </w:tcPr>
          <w:p>
            <w:pPr>
              <w:spacing w:after="0"/>
            </w:pPr>
            <w:r>
              <w:rPr>
                <w:rFonts w:ascii="游ゴシック" w:hAnsi="游ゴシック" w:eastAsia="游ゴシック"/>
                <w:b w:val="0"/>
                <w:sz w:val="18"/>
              </w:rPr>
              <w:t>No.113</w:t>
            </w:r>
          </w:p>
        </w:tc>
      </w:tr>
      <w:tr>
        <w:trPr>
          <w:cantSplit/>
        </w:trPr>
        <w:tc>
          <w:tcPr>
            <w:tcW w:type="dxa" w:w="2268"/>
            <w:shd w:val="clear" w:color="auto" w:fill="F2F5FA"/>
            <w:vAlign w:val="center"/>
          </w:tcPr>
          <w:p>
            <w:pPr>
              <w:spacing w:after="0"/>
            </w:pPr>
            <w:r>
              <w:rPr>
                <w:rFonts w:ascii="游ゴシック" w:hAnsi="游ゴシック" w:eastAsia="游ゴシック"/>
                <w:b/>
                <w:sz w:val="18"/>
              </w:rPr>
              <w:t>地域密着型サービスの</w:t>
              <w:br/>
              <w:t>人員・設備・運営の基準条例</w:t>
            </w:r>
          </w:p>
        </w:tc>
        <w:tc>
          <w:tcPr>
            <w:tcW w:type="dxa" w:w="1701"/>
            <w:shd w:val="clear" w:color="auto" w:fill="F2F5FA"/>
            <w:vAlign w:val="center"/>
          </w:tcPr>
          <w:p>
            <w:pPr>
              <w:spacing w:after="0"/>
            </w:pPr>
            <w:r>
              <w:rPr>
                <w:rFonts w:ascii="游ゴシック" w:hAnsi="游ゴシック" w:eastAsia="游ゴシック"/>
                <w:b w:val="0"/>
                <w:sz w:val="18"/>
              </w:rPr>
              <w:t>広域連合</w:t>
            </w:r>
          </w:p>
        </w:tc>
        <w:tc>
          <w:tcPr>
            <w:tcW w:type="dxa" w:w="4195"/>
            <w:shd w:val="clear" w:color="auto" w:fill="F2F5FA"/>
            <w:vAlign w:val="center"/>
          </w:tcPr>
          <w:p>
            <w:pPr>
              <w:spacing w:after="0"/>
            </w:pPr>
            <w:r>
              <w:rPr>
                <w:rFonts w:ascii="游ゴシック" w:hAnsi="游ゴシック" w:eastAsia="游ゴシック"/>
                <w:b w:val="0"/>
                <w:sz w:val="18"/>
              </w:rPr>
              <w:t>令和6年厚生労働省令第16号の改正に対応しているかを確認できない。</w:t>
              <w:br/>
              <w:t>令和9年4月1日に義務となる2件（協力医療機関の要件強化・生産性向上委員会）も条例の対応規定を経て及ぶ</w:t>
            </w:r>
          </w:p>
        </w:tc>
        <w:tc>
          <w:tcPr>
            <w:tcW w:type="dxa" w:w="1361"/>
            <w:shd w:val="clear" w:color="auto" w:fill="F2F5FA"/>
            <w:vAlign w:val="center"/>
          </w:tcPr>
          <w:p>
            <w:pPr>
              <w:spacing w:after="0"/>
            </w:pPr>
            <w:r>
              <w:rPr>
                <w:rFonts w:ascii="游ゴシック" w:hAnsi="游ゴシック" w:eastAsia="游ゴシック"/>
                <w:b w:val="0"/>
                <w:sz w:val="18"/>
              </w:rPr>
              <w:t>No.95</w:t>
            </w:r>
          </w:p>
        </w:tc>
      </w:tr>
      <w:tr>
        <w:trPr>
          <w:cantSplit/>
        </w:trPr>
        <w:tc>
          <w:tcPr>
            <w:tcW w:type="dxa" w:w="2268"/>
            <w:vAlign w:val="center"/>
          </w:tcPr>
          <w:p>
            <w:pPr>
              <w:spacing w:after="0"/>
            </w:pPr>
            <w:r>
              <w:rPr>
                <w:rFonts w:ascii="游ゴシック" w:hAnsi="游ゴシック" w:eastAsia="游ゴシック"/>
                <w:b/>
                <w:sz w:val="18"/>
              </w:rPr>
              <w:t>総合事業の令和7年度実績</w:t>
            </w:r>
          </w:p>
        </w:tc>
        <w:tc>
          <w:tcPr>
            <w:tcW w:type="dxa" w:w="1701"/>
            <w:vAlign w:val="center"/>
          </w:tcPr>
          <w:p>
            <w:pPr>
              <w:spacing w:after="0"/>
            </w:pPr>
            <w:r>
              <w:rPr>
                <w:rFonts w:ascii="游ゴシック" w:hAnsi="游ゴシック" w:eastAsia="游ゴシック"/>
                <w:b w:val="0"/>
                <w:sz w:val="18"/>
              </w:rPr>
              <w:t>発注者・3町</w:t>
            </w:r>
          </w:p>
        </w:tc>
        <w:tc>
          <w:tcPr>
            <w:tcW w:type="dxa" w:w="4195"/>
            <w:vAlign w:val="center"/>
          </w:tcPr>
          <w:p>
            <w:pPr>
              <w:spacing w:after="0"/>
            </w:pPr>
            <w:r>
              <w:rPr>
                <w:rFonts w:ascii="游ゴシック" w:hAnsi="游ゴシック" w:eastAsia="游ゴシック"/>
                <w:b w:val="0"/>
                <w:sz w:val="18"/>
              </w:rPr>
              <w:t>地域支援事業の量の見込み（同項第2号）。</w:t>
              <w:br/>
              <w:t>現在は令和6年度の実績を3年据え置いている</w:t>
            </w:r>
          </w:p>
        </w:tc>
        <w:tc>
          <w:tcPr>
            <w:tcW w:type="dxa" w:w="1361"/>
            <w:vAlign w:val="center"/>
          </w:tcPr>
          <w:p>
            <w:pPr>
              <w:spacing w:after="0"/>
            </w:pPr>
            <w:r>
              <w:rPr>
                <w:rFonts w:ascii="游ゴシック" w:hAnsi="游ゴシック" w:eastAsia="游ゴシック"/>
                <w:b w:val="0"/>
                <w:sz w:val="18"/>
              </w:rPr>
              <w:t>No.112</w:t>
            </w:r>
          </w:p>
        </w:tc>
      </w:tr>
      <w:tr>
        <w:trPr>
          <w:cantSplit/>
        </w:trPr>
        <w:tc>
          <w:tcPr>
            <w:tcW w:type="dxa" w:w="2268"/>
            <w:shd w:val="clear" w:color="auto" w:fill="F2F5FA"/>
            <w:vAlign w:val="center"/>
          </w:tcPr>
          <w:p>
            <w:pPr>
              <w:spacing w:after="0"/>
            </w:pPr>
            <w:r>
              <w:rPr>
                <w:rFonts w:ascii="游ゴシック" w:hAnsi="游ゴシック" w:eastAsia="游ゴシック"/>
                <w:b/>
                <w:sz w:val="18"/>
              </w:rPr>
              <w:t>認知症総合支援事業の実績</w:t>
            </w:r>
          </w:p>
        </w:tc>
        <w:tc>
          <w:tcPr>
            <w:tcW w:type="dxa" w:w="1701"/>
            <w:shd w:val="clear" w:color="auto" w:fill="F2F5FA"/>
            <w:vAlign w:val="center"/>
          </w:tcPr>
          <w:p>
            <w:pPr>
              <w:spacing w:after="0"/>
            </w:pPr>
            <w:r>
              <w:rPr>
                <w:rFonts w:ascii="游ゴシック" w:hAnsi="游ゴシック" w:eastAsia="游ゴシック"/>
                <w:b w:val="0"/>
                <w:sz w:val="18"/>
              </w:rPr>
              <w:t>発注者・3町</w:t>
            </w:r>
          </w:p>
        </w:tc>
        <w:tc>
          <w:tcPr>
            <w:tcW w:type="dxa" w:w="4195"/>
            <w:shd w:val="clear" w:color="auto" w:fill="F2F5FA"/>
            <w:vAlign w:val="center"/>
          </w:tcPr>
          <w:p>
            <w:pPr>
              <w:spacing w:after="0"/>
            </w:pPr>
            <w:r>
              <w:rPr>
                <w:rFonts w:ascii="游ゴシック" w:hAnsi="游ゴシック" w:eastAsia="游ゴシック"/>
                <w:b w:val="0"/>
                <w:sz w:val="18"/>
              </w:rPr>
              <w:t>認知症施策の量の見込み。決算の科目は4区分で6事業別の内訳がない</w:t>
            </w:r>
          </w:p>
        </w:tc>
        <w:tc>
          <w:tcPr>
            <w:tcW w:type="dxa" w:w="1361"/>
            <w:shd w:val="clear" w:color="auto" w:fill="F2F5FA"/>
            <w:vAlign w:val="center"/>
          </w:tcPr>
          <w:p>
            <w:pPr>
              <w:spacing w:after="0"/>
            </w:pPr>
            <w:r>
              <w:rPr>
                <w:rFonts w:ascii="游ゴシック" w:hAnsi="游ゴシック" w:eastAsia="游ゴシック"/>
                <w:b w:val="0"/>
                <w:sz w:val="18"/>
              </w:rPr>
              <w:t>No.150</w:t>
            </w:r>
          </w:p>
        </w:tc>
      </w:tr>
    </w:tbl>
    <w:p>
      <w:pPr>
        <w:keepNext/>
        <w:spacing w:before="180" w:after="60"/>
      </w:pPr>
      <w:r>
        <w:rPr>
          <w:rFonts w:ascii="游ゴシック" w:hAnsi="游ゴシック" w:eastAsia="游ゴシック"/>
          <w:b/>
          <w:sz w:val="22"/>
        </w:rPr>
        <w:t>４　算定の精度・整合に効くもの</w:t>
      </w:r>
    </w:p>
    <w:p>
      <w:pPr>
        <w:keepNext/>
        <w:spacing w:before="160" w:after="40"/>
      </w:pPr>
      <w:r>
        <w:rPr>
          <w:rFonts w:ascii="游ゴシック" w:hAnsi="游ゴシック" w:eastAsia="游ゴシック"/>
          <w:b/>
          <w:sz w:val="20"/>
        </w:rPr>
        <w:t>表3　精度と整合に効く資料</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8"/>
              </w:rPr>
              <w:t>資料</w:t>
            </w:r>
          </w:p>
        </w:tc>
        <w:tc>
          <w:tcPr>
            <w:tcW w:type="dxa" w:w="1701"/>
            <w:shd w:val="clear" w:color="auto" w:fill="1F3864"/>
            <w:vAlign w:val="center"/>
          </w:tcPr>
          <w:p>
            <w:pPr>
              <w:spacing w:after="0"/>
              <w:jc w:val="center"/>
            </w:pPr>
            <w:r>
              <w:rPr>
                <w:rFonts w:ascii="游ゴシック" w:hAnsi="游ゴシック" w:eastAsia="游ゴシック"/>
                <w:b/>
                <w:color w:val="FFFFFF"/>
                <w:sz w:val="18"/>
              </w:rPr>
              <w:t>入手先</w:t>
            </w:r>
          </w:p>
        </w:tc>
        <w:tc>
          <w:tcPr>
            <w:tcW w:type="dxa" w:w="4195"/>
            <w:shd w:val="clear" w:color="auto" w:fill="1F3864"/>
            <w:vAlign w:val="center"/>
          </w:tcPr>
          <w:p>
            <w:pPr>
              <w:spacing w:after="0"/>
              <w:jc w:val="center"/>
            </w:pPr>
            <w:r>
              <w:rPr>
                <w:rFonts w:ascii="游ゴシック" w:hAnsi="游ゴシック" w:eastAsia="游ゴシック"/>
                <w:b/>
                <w:color w:val="FFFFFF"/>
                <w:sz w:val="18"/>
              </w:rPr>
              <w:t>何のために要るか</w:t>
            </w:r>
          </w:p>
        </w:tc>
        <w:tc>
          <w:tcPr>
            <w:tcW w:type="dxa" w:w="1361"/>
            <w:shd w:val="clear" w:color="auto" w:fill="1F3864"/>
            <w:vAlign w:val="center"/>
          </w:tcPr>
          <w:p>
            <w:pPr>
              <w:spacing w:after="0"/>
              <w:jc w:val="center"/>
            </w:pPr>
            <w:r>
              <w:rPr>
                <w:rFonts w:ascii="游ゴシック" w:hAnsi="游ゴシック" w:eastAsia="游ゴシック"/>
                <w:b/>
                <w:color w:val="FFFFFF"/>
                <w:sz w:val="18"/>
              </w:rPr>
              <w:t>確認事項</w:t>
            </w:r>
          </w:p>
        </w:tc>
      </w:tr>
      <w:tr>
        <w:trPr>
          <w:cantSplit/>
        </w:trPr>
        <w:tc>
          <w:tcPr>
            <w:tcW w:type="dxa" w:w="2268"/>
            <w:vAlign w:val="center"/>
          </w:tcPr>
          <w:p>
            <w:pPr>
              <w:spacing w:after="0"/>
            </w:pPr>
            <w:r>
              <w:rPr>
                <w:rFonts w:ascii="游ゴシック" w:hAnsi="游ゴシック" w:eastAsia="游ゴシック"/>
                <w:b/>
                <w:sz w:val="18"/>
              </w:rPr>
              <w:t>給付費データ 令和7年度</w:t>
              <w:br/>
              <w:t>（受領済み）</w:t>
            </w:r>
          </w:p>
        </w:tc>
        <w:tc>
          <w:tcPr>
            <w:tcW w:type="dxa" w:w="1701"/>
            <w:vAlign w:val="center"/>
          </w:tcPr>
          <w:p>
            <w:pPr>
              <w:spacing w:after="0"/>
            </w:pPr>
            <w:r>
              <w:rPr>
                <w:rFonts w:ascii="游ゴシック" w:hAnsi="游ゴシック" w:eastAsia="游ゴシック"/>
                <w:b w:val="0"/>
                <w:sz w:val="18"/>
              </w:rPr>
              <w:t>発注者</w:t>
            </w:r>
          </w:p>
        </w:tc>
        <w:tc>
          <w:tcPr>
            <w:tcW w:type="dxa" w:w="4195"/>
            <w:vAlign w:val="center"/>
          </w:tcPr>
          <w:p>
            <w:pPr>
              <w:spacing w:after="0"/>
            </w:pPr>
            <w:r>
              <w:rPr>
                <w:rFonts w:ascii="游ゴシック" w:hAnsi="游ゴシック" w:eastAsia="游ゴシック"/>
                <w:b w:val="0"/>
                <w:sz w:val="18"/>
              </w:rPr>
              <w:t>令和8年9月25日に再提供を受け、3町計と広域連合単位が</w:t>
              <w:br/>
              <w:t>要介護度別まで円単位で一致した。町別の実績値を書ける</w:t>
            </w:r>
          </w:p>
        </w:tc>
        <w:tc>
          <w:tcPr>
            <w:tcW w:type="dxa" w:w="1361"/>
            <w:vAlign w:val="center"/>
          </w:tcPr>
          <w:p>
            <w:pPr>
              <w:spacing w:after="0"/>
            </w:pPr>
            <w:r>
              <w:rPr>
                <w:rFonts w:ascii="游ゴシック" w:hAnsi="游ゴシック" w:eastAsia="游ゴシック"/>
                <w:b w:val="0"/>
                <w:sz w:val="18"/>
              </w:rPr>
              <w:t>No.87（解決）</w:t>
            </w:r>
          </w:p>
        </w:tc>
      </w:tr>
      <w:tr>
        <w:trPr>
          <w:cantSplit/>
        </w:trPr>
        <w:tc>
          <w:tcPr>
            <w:tcW w:type="dxa" w:w="2268"/>
            <w:shd w:val="clear" w:color="auto" w:fill="F2F5FA"/>
            <w:vAlign w:val="center"/>
          </w:tcPr>
          <w:p>
            <w:pPr>
              <w:spacing w:after="0"/>
            </w:pPr>
            <w:r>
              <w:rPr>
                <w:rFonts w:ascii="游ゴシック" w:hAnsi="游ゴシック" w:eastAsia="游ゴシック"/>
                <w:b/>
                <w:sz w:val="18"/>
              </w:rPr>
              <w:t>見える化システムの</w:t>
              <w:br/>
              <w:t>操作手引・認証後画面の写し</w:t>
            </w:r>
          </w:p>
        </w:tc>
        <w:tc>
          <w:tcPr>
            <w:tcW w:type="dxa" w:w="1701"/>
            <w:shd w:val="clear" w:color="auto" w:fill="F2F5FA"/>
            <w:vAlign w:val="center"/>
          </w:tcPr>
          <w:p>
            <w:pPr>
              <w:spacing w:after="0"/>
            </w:pPr>
            <w:r>
              <w:rPr>
                <w:rFonts w:ascii="游ゴシック" w:hAnsi="游ゴシック" w:eastAsia="游ゴシック"/>
                <w:b w:val="0"/>
                <w:sz w:val="18"/>
              </w:rPr>
              <w:t>発注者</w:t>
            </w:r>
          </w:p>
        </w:tc>
        <w:tc>
          <w:tcPr>
            <w:tcW w:type="dxa" w:w="4195"/>
            <w:shd w:val="clear" w:color="auto" w:fill="F2F5FA"/>
            <w:vAlign w:val="center"/>
          </w:tcPr>
          <w:p>
            <w:pPr>
              <w:spacing w:after="0"/>
            </w:pPr>
            <w:r>
              <w:rPr>
                <w:rFonts w:ascii="游ゴシック" w:hAnsi="游ゴシック" w:eastAsia="游ゴシック"/>
                <w:b w:val="0"/>
                <w:sz w:val="18"/>
              </w:rPr>
              <w:t>施設・居住系の画面から先へ進めない件、</w:t>
              <w:br/>
              <w:t>1人1月あたり給付費の年度の選択、認定者数の編集項目の有無</w:t>
            </w:r>
          </w:p>
        </w:tc>
        <w:tc>
          <w:tcPr>
            <w:tcW w:type="dxa" w:w="1361"/>
            <w:shd w:val="clear" w:color="auto" w:fill="F2F5FA"/>
            <w:vAlign w:val="center"/>
          </w:tcPr>
          <w:p>
            <w:pPr>
              <w:spacing w:after="0"/>
            </w:pPr>
            <w:r>
              <w:rPr>
                <w:rFonts w:ascii="游ゴシック" w:hAnsi="游ゴシック" w:eastAsia="游ゴシック"/>
                <w:b w:val="0"/>
                <w:sz w:val="18"/>
              </w:rPr>
              <w:t>No.123・No.137</w:t>
              <w:br/>
              <w:t>・No.138・No.148</w:t>
            </w:r>
          </w:p>
        </w:tc>
      </w:tr>
      <w:tr>
        <w:trPr>
          <w:cantSplit/>
        </w:trPr>
        <w:tc>
          <w:tcPr>
            <w:tcW w:type="dxa" w:w="2268"/>
            <w:vAlign w:val="center"/>
          </w:tcPr>
          <w:p>
            <w:pPr>
              <w:spacing w:after="0"/>
            </w:pPr>
            <w:r>
              <w:rPr>
                <w:rFonts w:ascii="游ゴシック" w:hAnsi="游ゴシック" w:eastAsia="游ゴシック"/>
                <w:b/>
                <w:sz w:val="18"/>
              </w:rPr>
              <w:t>令和7年度の月報</w:t>
            </w:r>
          </w:p>
        </w:tc>
        <w:tc>
          <w:tcPr>
            <w:tcW w:type="dxa" w:w="1701"/>
            <w:vAlign w:val="center"/>
          </w:tcPr>
          <w:p>
            <w:pPr>
              <w:spacing w:after="0"/>
            </w:pPr>
            <w:r>
              <w:rPr>
                <w:rFonts w:ascii="游ゴシック" w:hAnsi="游ゴシック" w:eastAsia="游ゴシック"/>
                <w:b w:val="0"/>
                <w:sz w:val="18"/>
              </w:rPr>
              <w:t>発注者</w:t>
            </w:r>
          </w:p>
        </w:tc>
        <w:tc>
          <w:tcPr>
            <w:tcW w:type="dxa" w:w="4195"/>
            <w:vAlign w:val="center"/>
          </w:tcPr>
          <w:p>
            <w:pPr>
              <w:spacing w:after="0"/>
            </w:pPr>
            <w:r>
              <w:rPr>
                <w:rFonts w:ascii="游ゴシック" w:hAnsi="游ゴシック" w:eastAsia="游ゴシック"/>
                <w:b w:val="0"/>
                <w:sz w:val="18"/>
              </w:rPr>
              <w:t>見える化の画面の令和7年度が年報でなく月報によるものか。</w:t>
              <w:br/>
              <w:t>画面と年報の月平均が2％以上食い違う3件の説明がつく</w:t>
            </w:r>
          </w:p>
        </w:tc>
        <w:tc>
          <w:tcPr>
            <w:tcW w:type="dxa" w:w="1361"/>
            <w:vAlign w:val="center"/>
          </w:tcPr>
          <w:p>
            <w:pPr>
              <w:spacing w:after="0"/>
            </w:pPr>
            <w:r>
              <w:rPr>
                <w:rFonts w:ascii="游ゴシック" w:hAnsi="游ゴシック" w:eastAsia="游ゴシック"/>
                <w:b w:val="0"/>
                <w:sz w:val="18"/>
              </w:rPr>
              <w:t>No.136</w:t>
            </w:r>
          </w:p>
        </w:tc>
      </w:tr>
      <w:tr>
        <w:trPr>
          <w:cantSplit/>
        </w:trPr>
        <w:tc>
          <w:tcPr>
            <w:tcW w:type="dxa" w:w="2268"/>
            <w:shd w:val="clear" w:color="auto" w:fill="F2F5FA"/>
            <w:vAlign w:val="center"/>
          </w:tcPr>
          <w:p>
            <w:pPr>
              <w:spacing w:after="0"/>
            </w:pPr>
            <w:r>
              <w:rPr>
                <w:rFonts w:ascii="游ゴシック" w:hAnsi="游ゴシック" w:eastAsia="游ゴシック"/>
                <w:b/>
                <w:sz w:val="18"/>
              </w:rPr>
              <w:t>事業所・施設の定員と</w:t>
              <w:br/>
              <w:t>稼働の実績</w:t>
            </w:r>
          </w:p>
        </w:tc>
        <w:tc>
          <w:tcPr>
            <w:tcW w:type="dxa" w:w="1701"/>
            <w:shd w:val="clear" w:color="auto" w:fill="F2F5FA"/>
            <w:vAlign w:val="center"/>
          </w:tcPr>
          <w:p>
            <w:pPr>
              <w:spacing w:after="0"/>
            </w:pPr>
            <w:r>
              <w:rPr>
                <w:rFonts w:ascii="游ゴシック" w:hAnsi="游ゴシック" w:eastAsia="游ゴシック"/>
                <w:b w:val="0"/>
                <w:sz w:val="18"/>
              </w:rPr>
              <w:t>発注者・3町</w:t>
            </w:r>
          </w:p>
        </w:tc>
        <w:tc>
          <w:tcPr>
            <w:tcW w:type="dxa" w:w="4195"/>
            <w:shd w:val="clear" w:color="auto" w:fill="F2F5FA"/>
            <w:vAlign w:val="center"/>
          </w:tcPr>
          <w:p>
            <w:pPr>
              <w:spacing w:after="0"/>
            </w:pPr>
            <w:r>
              <w:rPr>
                <w:rFonts w:ascii="游ゴシック" w:hAnsi="游ゴシック" w:eastAsia="游ゴシック"/>
                <w:b w:val="0"/>
                <w:sz w:val="18"/>
              </w:rPr>
              <w:t>地域密着型通所介護の稼働率、施設・居住系の定員の縮小の経緯。</w:t>
              <w:br/>
              <w:t>定員の縮小を趨勢と読むかどうかの判断</w:t>
            </w:r>
          </w:p>
        </w:tc>
        <w:tc>
          <w:tcPr>
            <w:tcW w:type="dxa" w:w="1361"/>
            <w:shd w:val="clear" w:color="auto" w:fill="F2F5FA"/>
            <w:vAlign w:val="center"/>
          </w:tcPr>
          <w:p>
            <w:pPr>
              <w:spacing w:after="0"/>
            </w:pPr>
            <w:r>
              <w:rPr>
                <w:rFonts w:ascii="游ゴシック" w:hAnsi="游ゴシック" w:eastAsia="游ゴシック"/>
                <w:b w:val="0"/>
                <w:sz w:val="18"/>
              </w:rPr>
              <w:t>No.107</w:t>
            </w:r>
          </w:p>
        </w:tc>
      </w:tr>
      <w:tr>
        <w:trPr>
          <w:cantSplit/>
        </w:trPr>
        <w:tc>
          <w:tcPr>
            <w:tcW w:type="dxa" w:w="2268"/>
            <w:vAlign w:val="center"/>
          </w:tcPr>
          <w:p>
            <w:pPr>
              <w:spacing w:after="0"/>
            </w:pPr>
            <w:r>
              <w:rPr>
                <w:rFonts w:ascii="游ゴシック" w:hAnsi="游ゴシック" w:eastAsia="游ゴシック"/>
                <w:b/>
                <w:sz w:val="18"/>
              </w:rPr>
              <w:t>未利用認定者の内訳</w:t>
            </w:r>
          </w:p>
        </w:tc>
        <w:tc>
          <w:tcPr>
            <w:tcW w:type="dxa" w:w="1701"/>
            <w:vAlign w:val="center"/>
          </w:tcPr>
          <w:p>
            <w:pPr>
              <w:spacing w:after="0"/>
            </w:pPr>
            <w:r>
              <w:rPr>
                <w:rFonts w:ascii="游ゴシック" w:hAnsi="游ゴシック" w:eastAsia="游ゴシック"/>
                <w:b w:val="0"/>
                <w:sz w:val="18"/>
              </w:rPr>
              <w:t>発注者</w:t>
            </w:r>
          </w:p>
        </w:tc>
        <w:tc>
          <w:tcPr>
            <w:tcW w:type="dxa" w:w="4195"/>
            <w:vAlign w:val="center"/>
          </w:tcPr>
          <w:p>
            <w:pPr>
              <w:spacing w:after="0"/>
            </w:pPr>
            <w:r>
              <w:rPr>
                <w:rFonts w:ascii="游ゴシック" w:hAnsi="游ゴシック" w:eastAsia="游ゴシック"/>
                <w:b w:val="0"/>
                <w:sz w:val="18"/>
              </w:rPr>
              <w:t>認定者の24.5％（486人）がサービスを利用していない要因の分解</w:t>
            </w:r>
          </w:p>
        </w:tc>
        <w:tc>
          <w:tcPr>
            <w:tcW w:type="dxa" w:w="1361"/>
            <w:vAlign w:val="center"/>
          </w:tcPr>
          <w:p>
            <w:pPr>
              <w:spacing w:after="0"/>
            </w:pPr>
            <w:r>
              <w:rPr>
                <w:rFonts w:ascii="游ゴシック" w:hAnsi="游ゴシック" w:eastAsia="游ゴシック"/>
                <w:b w:val="0"/>
                <w:sz w:val="18"/>
              </w:rPr>
              <w:t>No.23</w:t>
            </w:r>
          </w:p>
        </w:tc>
      </w:tr>
      <w:tr>
        <w:trPr>
          <w:cantSplit/>
        </w:trPr>
        <w:tc>
          <w:tcPr>
            <w:tcW w:type="dxa" w:w="2268"/>
            <w:shd w:val="clear" w:color="auto" w:fill="F2F5FA"/>
            <w:vAlign w:val="center"/>
          </w:tcPr>
          <w:p>
            <w:pPr>
              <w:spacing w:after="0"/>
            </w:pPr>
            <w:r>
              <w:rPr>
                <w:rFonts w:ascii="游ゴシック" w:hAnsi="游ゴシック" w:eastAsia="游ゴシック"/>
                <w:b/>
                <w:sz w:val="18"/>
              </w:rPr>
              <w:t>第9期計画本文</w:t>
            </w:r>
          </w:p>
        </w:tc>
        <w:tc>
          <w:tcPr>
            <w:tcW w:type="dxa" w:w="1701"/>
            <w:shd w:val="clear" w:color="auto" w:fill="F2F5FA"/>
            <w:vAlign w:val="center"/>
          </w:tcPr>
          <w:p>
            <w:pPr>
              <w:spacing w:after="0"/>
            </w:pPr>
            <w:r>
              <w:rPr>
                <w:rFonts w:ascii="游ゴシック" w:hAnsi="游ゴシック" w:eastAsia="游ゴシック"/>
                <w:b w:val="0"/>
                <w:sz w:val="18"/>
              </w:rPr>
              <w:t>発注者</w:t>
            </w:r>
          </w:p>
        </w:tc>
        <w:tc>
          <w:tcPr>
            <w:tcW w:type="dxa" w:w="4195"/>
            <w:shd w:val="clear" w:color="auto" w:fill="F2F5FA"/>
            <w:vAlign w:val="center"/>
          </w:tcPr>
          <w:p>
            <w:pPr>
              <w:spacing w:after="0"/>
            </w:pPr>
            <w:r>
              <w:rPr>
                <w:rFonts w:ascii="游ゴシック" w:hAnsi="游ゴシック" w:eastAsia="游ゴシック"/>
                <w:b w:val="0"/>
                <w:sz w:val="18"/>
              </w:rPr>
              <w:t>給付適正化計画（第6期）の記載の確認</w:t>
            </w:r>
          </w:p>
        </w:tc>
        <w:tc>
          <w:tcPr>
            <w:tcW w:type="dxa" w:w="1361"/>
            <w:shd w:val="clear" w:color="auto" w:fill="F2F5FA"/>
            <w:vAlign w:val="center"/>
          </w:tcPr>
          <w:p>
            <w:pPr>
              <w:spacing w:after="0"/>
            </w:pPr>
            <w:r>
              <w:rPr>
                <w:rFonts w:ascii="游ゴシック" w:hAnsi="游ゴシック" w:eastAsia="游ゴシック"/>
                <w:b w:val="0"/>
                <w:sz w:val="18"/>
              </w:rPr>
              <w:t>No.90</w:t>
            </w:r>
          </w:p>
        </w:tc>
      </w:tr>
    </w:tbl>
    <w:p>
      <w:pPr>
        <w:keepNext/>
        <w:spacing w:before="180" w:after="60"/>
      </w:pPr>
      <w:r>
        <w:rPr>
          <w:rFonts w:ascii="游ゴシック" w:hAnsi="游ゴシック" w:eastAsia="游ゴシック"/>
          <w:b/>
          <w:sz w:val="22"/>
        </w:rPr>
        <w:t>５　受領済みで、現時点で不足のないもの</w:t>
      </w:r>
    </w:p>
    <w:p>
      <w:pPr>
        <w:ind w:left="340" w:hanging="340"/>
      </w:pPr>
      <w:r>
        <w:rPr>
          <w:rFonts w:ascii="游ゴシック" w:hAnsi="游ゴシック" w:eastAsia="游ゴシック"/>
          <w:sz w:val="20"/>
        </w:rPr>
        <w:t>・介護保険事業状況報告（年報）令和6年度・令和7年度。令和8年9月11日の再送により要介護度別の明細まで受領しました。見込量・給付費の算定はこれを基礎としています。</w:t>
      </w:r>
    </w:p>
    <w:p>
      <w:pPr>
        <w:ind w:left="340" w:hanging="340"/>
      </w:pPr>
      <w:r>
        <w:rPr>
          <w:rFonts w:ascii="游ゴシック" w:hAnsi="游ゴシック" w:eastAsia="游ゴシック"/>
          <w:sz w:val="20"/>
        </w:rPr>
        <w:t>・介護保険事業状況報告（月報）令和8年4月〜7月分。</w:t>
      </w:r>
    </w:p>
    <w:p>
      <w:pPr>
        <w:ind w:left="340" w:hanging="340"/>
      </w:pPr>
      <w:r>
        <w:rPr>
          <w:rFonts w:ascii="游ゴシック" w:hAnsi="游ゴシック" w:eastAsia="游ゴシック"/>
          <w:sz w:val="20"/>
        </w:rPr>
        <w:t>・見える化システムの総括表（令和6年度・令和7年度）。給付費の合計が年報と円単位で一致します。</w:t>
      </w:r>
    </w:p>
    <w:p>
      <w:pPr>
        <w:ind w:left="340" w:hanging="340"/>
      </w:pPr>
      <w:r>
        <w:rPr>
          <w:rFonts w:ascii="游ゴシック" w:hAnsi="游ゴシック" w:eastAsia="游ゴシック"/>
          <w:sz w:val="20"/>
        </w:rPr>
        <w:t>・介護保険事業計画作成支援ツールの実績値。</w:t>
      </w:r>
    </w:p>
    <w:p>
      <w:pPr>
        <w:ind w:left="340" w:hanging="340"/>
      </w:pPr>
      <w:r>
        <w:rPr>
          <w:rFonts w:ascii="游ゴシック" w:hAnsi="游ゴシック" w:eastAsia="游ゴシック"/>
          <w:sz w:val="20"/>
        </w:rPr>
        <w:t>・北海道の施設・住まいの名簿5種、介護保険事業所一覧（47区分）。</w:t>
      </w:r>
    </w:p>
    <w:p>
      <w:pPr>
        <w:ind w:left="340" w:hanging="340"/>
      </w:pPr>
      <w:r>
        <w:rPr>
          <w:rFonts w:ascii="游ゴシック" w:hAnsi="游ゴシック" w:eastAsia="游ゴシック"/>
          <w:sz w:val="20"/>
        </w:rPr>
        <w:t>・介護保険特別会計の決算額、保険料収納率の実績、所得段階別被保険者数、介護給付費準備基金の残高（令和5年度末・令和6年度末）。</w:t>
      </w:r>
    </w:p>
    <w:p>
      <w:r>
        <w:br w:type="page"/>
      </w:r>
    </w:p>
    <w:p>
      <w:pPr>
        <w:keepNext/>
        <w:spacing w:before="280" w:after="120"/>
      </w:pPr>
      <w:r>
        <w:rPr>
          <w:rFonts w:ascii="游ゴシック" w:hAnsi="游ゴシック" w:eastAsia="游ゴシック"/>
          <w:b/>
          <w:color w:val="1F3864"/>
          <w:sz w:val="26"/>
        </w:rPr>
        <w:t>第2節　資料が届かない場合の当方の扱い（既定値）</w:t>
      </w:r>
    </w:p>
    <w:p>
      <w:pPr>
        <w:spacing w:after="80"/>
      </w:pPr>
      <w:r>
        <w:rPr>
          <w:rFonts w:ascii="游ゴシック" w:hAnsi="游ゴシック" w:eastAsia="游ゴシック"/>
          <w:b w:val="0"/>
          <w:sz w:val="21"/>
        </w:rPr>
        <w:t>第1次概算では、届かない資料を次のように置きました。全23件を別冊15シートに掲げています。「安全側」とあるものは、置き方を誤った場合に保険料が不足する側ではなく余る側に振れることを意味します。</w:t>
      </w:r>
    </w:p>
    <w:p>
      <w:pPr>
        <w:keepNext/>
        <w:spacing w:before="160" w:after="40"/>
      </w:pPr>
      <w:r>
        <w:rPr>
          <w:rFonts w:ascii="游ゴシック" w:hAnsi="游ゴシック" w:eastAsia="游ゴシック"/>
          <w:b/>
          <w:sz w:val="20"/>
        </w:rPr>
        <w:t>表4　据え置き・既定値（23件のうち主なもの）</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1928"/>
            <w:shd w:val="clear" w:color="auto" w:fill="1F3864"/>
            <w:vAlign w:val="center"/>
          </w:tcPr>
          <w:p>
            <w:pPr>
              <w:spacing w:after="0"/>
              <w:jc w:val="center"/>
            </w:pPr>
            <w:r>
              <w:rPr>
                <w:rFonts w:ascii="游ゴシック" w:hAnsi="游ゴシック" w:eastAsia="游ゴシック"/>
                <w:b/>
                <w:color w:val="FFFFFF"/>
                <w:sz w:val="18"/>
              </w:rPr>
              <w:t>項目</w:t>
            </w:r>
          </w:p>
        </w:tc>
        <w:tc>
          <w:tcPr>
            <w:tcW w:type="dxa" w:w="3969"/>
            <w:shd w:val="clear" w:color="auto" w:fill="1F3864"/>
            <w:vAlign w:val="center"/>
          </w:tcPr>
          <w:p>
            <w:pPr>
              <w:spacing w:after="0"/>
              <w:jc w:val="center"/>
            </w:pPr>
            <w:r>
              <w:rPr>
                <w:rFonts w:ascii="游ゴシック" w:hAnsi="游ゴシック" w:eastAsia="游ゴシック"/>
                <w:b/>
                <w:color w:val="FFFFFF"/>
                <w:sz w:val="18"/>
              </w:rPr>
              <w:t>本表での置き方</w:t>
            </w:r>
          </w:p>
        </w:tc>
        <w:tc>
          <w:tcPr>
            <w:tcW w:type="dxa" w:w="1247"/>
            <w:shd w:val="clear" w:color="auto" w:fill="1F3864"/>
            <w:vAlign w:val="center"/>
          </w:tcPr>
          <w:p>
            <w:pPr>
              <w:spacing w:after="0"/>
              <w:jc w:val="center"/>
            </w:pPr>
            <w:r>
              <w:rPr>
                <w:rFonts w:ascii="游ゴシック" w:hAnsi="游ゴシック" w:eastAsia="游ゴシック"/>
                <w:b/>
                <w:color w:val="FFFFFF"/>
                <w:sz w:val="18"/>
              </w:rPr>
              <w:t>確認事項</w:t>
            </w:r>
          </w:p>
        </w:tc>
        <w:tc>
          <w:tcPr>
            <w:tcW w:type="dxa" w:w="2381"/>
            <w:shd w:val="clear" w:color="auto" w:fill="1F3864"/>
            <w:vAlign w:val="center"/>
          </w:tcPr>
          <w:p>
            <w:pPr>
              <w:spacing w:after="0"/>
              <w:jc w:val="center"/>
            </w:pPr>
            <w:r>
              <w:rPr>
                <w:rFonts w:ascii="游ゴシック" w:hAnsi="游ゴシック" w:eastAsia="游ゴシック"/>
                <w:b/>
                <w:color w:val="FFFFFF"/>
                <w:sz w:val="18"/>
              </w:rPr>
              <w:t>月額への効き</w:t>
            </w:r>
          </w:p>
        </w:tc>
      </w:tr>
      <w:tr>
        <w:trPr>
          <w:cantSplit/>
        </w:trPr>
        <w:tc>
          <w:tcPr>
            <w:tcW w:type="dxa" w:w="1928"/>
            <w:vAlign w:val="center"/>
          </w:tcPr>
          <w:p>
            <w:pPr>
              <w:spacing w:after="0"/>
            </w:pPr>
            <w:r>
              <w:rPr>
                <w:rFonts w:ascii="游ゴシック" w:hAnsi="游ゴシック" w:eastAsia="游ゴシック"/>
                <w:b/>
                <w:sz w:val="18"/>
              </w:rPr>
              <w:t>1人あたり給付費（単価）</w:t>
            </w:r>
          </w:p>
        </w:tc>
        <w:tc>
          <w:tcPr>
            <w:tcW w:type="dxa" w:w="3969"/>
            <w:vAlign w:val="center"/>
          </w:tcPr>
          <w:p>
            <w:pPr>
              <w:spacing w:after="0"/>
            </w:pPr>
            <w:r>
              <w:rPr>
                <w:rFonts w:ascii="游ゴシック" w:hAnsi="游ゴシック" w:eastAsia="游ゴシック"/>
                <w:b w:val="0"/>
                <w:sz w:val="18"/>
              </w:rPr>
              <w:t>令和7年度の実績単価で固定した。改定率を乗じた場合の感度を14シートに示した</w:t>
            </w:r>
          </w:p>
        </w:tc>
        <w:tc>
          <w:tcPr>
            <w:tcW w:type="dxa" w:w="1247"/>
            <w:vAlign w:val="center"/>
          </w:tcPr>
          <w:p>
            <w:pPr>
              <w:spacing w:after="0"/>
            </w:pPr>
            <w:r>
              <w:rPr>
                <w:rFonts w:ascii="游ゴシック" w:hAnsi="游ゴシック" w:eastAsia="游ゴシック"/>
                <w:b w:val="0"/>
                <w:sz w:val="18"/>
              </w:rPr>
              <w:t>No.110・No.137</w:t>
            </w:r>
          </w:p>
        </w:tc>
        <w:tc>
          <w:tcPr>
            <w:tcW w:type="dxa" w:w="2381"/>
            <w:vAlign w:val="center"/>
          </w:tcPr>
          <w:p>
            <w:pPr>
              <w:spacing w:after="0"/>
            </w:pPr>
            <w:r>
              <w:rPr>
                <w:rFonts w:ascii="游ゴシック" w:hAnsi="游ゴシック" w:eastAsia="游ゴシック"/>
                <w:b w:val="0"/>
                <w:sz w:val="18"/>
              </w:rPr>
              <w:t>改定率1％あたり月額＋61円。単価の年率1.32％から1.75％の伸びを見込まないことは月額</w:t>
            </w:r>
          </w:p>
        </w:tc>
      </w:tr>
      <w:tr>
        <w:trPr>
          <w:cantSplit/>
        </w:trPr>
        <w:tc>
          <w:tcPr>
            <w:tcW w:type="dxa" w:w="1928"/>
            <w:shd w:val="clear" w:color="auto" w:fill="F2F5FA"/>
            <w:vAlign w:val="center"/>
          </w:tcPr>
          <w:p>
            <w:pPr>
              <w:spacing w:after="0"/>
            </w:pPr>
            <w:r>
              <w:rPr>
                <w:rFonts w:ascii="游ゴシック" w:hAnsi="游ゴシック" w:eastAsia="游ゴシック"/>
                <w:b/>
                <w:sz w:val="18"/>
              </w:rPr>
              <w:t>要介護度別の単価</w:t>
            </w:r>
          </w:p>
        </w:tc>
        <w:tc>
          <w:tcPr>
            <w:tcW w:type="dxa" w:w="3969"/>
            <w:shd w:val="clear" w:color="auto" w:fill="F2F5FA"/>
            <w:vAlign w:val="center"/>
          </w:tcPr>
          <w:p>
            <w:pPr>
              <w:spacing w:after="0"/>
            </w:pPr>
            <w:r>
              <w:rPr>
                <w:rFonts w:ascii="游ゴシック" w:hAnsi="游ゴシック" w:eastAsia="游ゴシック"/>
                <w:b w:val="0"/>
                <w:sz w:val="18"/>
              </w:rPr>
              <w:t>**令和8年10月1日に採用し、据え置きを解消した。**要介護度間の比を給付費データ（保険者単位）から採り、水準は総括表</w:t>
            </w:r>
          </w:p>
        </w:tc>
        <w:tc>
          <w:tcPr>
            <w:tcW w:type="dxa" w:w="1247"/>
            <w:shd w:val="clear" w:color="auto" w:fill="F2F5FA"/>
            <w:vAlign w:val="center"/>
          </w:tcPr>
          <w:p>
            <w:pPr>
              <w:spacing w:after="0"/>
            </w:pPr>
            <w:r>
              <w:rPr>
                <w:rFonts w:ascii="游ゴシック" w:hAnsi="游ゴシック" w:eastAsia="游ゴシック"/>
                <w:b w:val="0"/>
                <w:sz w:val="18"/>
              </w:rPr>
              <w:t>―</w:t>
            </w:r>
          </w:p>
        </w:tc>
        <w:tc>
          <w:tcPr>
            <w:tcW w:type="dxa" w:w="2381"/>
            <w:shd w:val="clear" w:color="auto" w:fill="F2F5FA"/>
            <w:vAlign w:val="center"/>
          </w:tcPr>
          <w:p>
            <w:pPr>
              <w:spacing w:after="0"/>
            </w:pPr>
            <w:r>
              <w:rPr>
                <w:rFonts w:ascii="游ゴシック" w:hAnsi="游ゴシック" w:eastAsia="游ゴシック"/>
                <w:b w:val="0"/>
                <w:sz w:val="18"/>
              </w:rPr>
              <w:t>採用により総給付費（3か年）＋3,213,698円・月額＋2.16円。保険料基準額は6,40</w:t>
            </w:r>
          </w:p>
        </w:tc>
      </w:tr>
      <w:tr>
        <w:trPr>
          <w:cantSplit/>
        </w:trPr>
        <w:tc>
          <w:tcPr>
            <w:tcW w:type="dxa" w:w="1928"/>
            <w:vAlign w:val="center"/>
          </w:tcPr>
          <w:p>
            <w:pPr>
              <w:spacing w:after="0"/>
            </w:pPr>
            <w:r>
              <w:rPr>
                <w:rFonts w:ascii="游ゴシック" w:hAnsi="游ゴシック" w:eastAsia="游ゴシック"/>
                <w:b/>
                <w:sz w:val="18"/>
              </w:rPr>
              <w:t>1人1月あたり利用回（日）数</w:t>
            </w:r>
          </w:p>
        </w:tc>
        <w:tc>
          <w:tcPr>
            <w:tcW w:type="dxa" w:w="3969"/>
            <w:vAlign w:val="center"/>
          </w:tcPr>
          <w:p>
            <w:pPr>
              <w:spacing w:after="0"/>
            </w:pPr>
            <w:r>
              <w:rPr>
                <w:rFonts w:ascii="游ゴシック" w:hAnsi="游ゴシック" w:eastAsia="游ゴシック"/>
                <w:b w:val="0"/>
                <w:sz w:val="18"/>
              </w:rPr>
              <w:t>**令和8年10月1日に要介護度別に改め、据え置きを解消した。**従前は要支援・要介護の群でまとめた1人1月あたりで置い</w:t>
            </w:r>
          </w:p>
        </w:tc>
        <w:tc>
          <w:tcPr>
            <w:tcW w:type="dxa" w:w="1247"/>
            <w:vAlign w:val="center"/>
          </w:tcPr>
          <w:p>
            <w:pPr>
              <w:spacing w:after="0"/>
            </w:pPr>
            <w:r>
              <w:rPr>
                <w:rFonts w:ascii="游ゴシック" w:hAnsi="游ゴシック" w:eastAsia="游ゴシック"/>
                <w:b w:val="0"/>
                <w:sz w:val="18"/>
              </w:rPr>
              <w:t>No.110</w:t>
            </w:r>
          </w:p>
        </w:tc>
        <w:tc>
          <w:tcPr>
            <w:tcW w:type="dxa" w:w="2381"/>
            <w:vAlign w:val="center"/>
          </w:tcPr>
          <w:p>
            <w:pPr>
              <w:spacing w:after="0"/>
            </w:pPr>
            <w:r>
              <w:rPr>
                <w:rFonts w:ascii="游ゴシック" w:hAnsi="游ゴシック" w:eastAsia="游ゴシック"/>
                <w:b w:val="0"/>
                <w:sz w:val="18"/>
              </w:rPr>
              <w:t>給付費には入らないため月額への効きはない。延べの回（日）数が最大＋0.09％（訪問介護）動く</w:t>
            </w:r>
          </w:p>
        </w:tc>
      </w:tr>
      <w:tr>
        <w:trPr>
          <w:cantSplit/>
        </w:trPr>
        <w:tc>
          <w:tcPr>
            <w:tcW w:type="dxa" w:w="1928"/>
            <w:shd w:val="clear" w:color="auto" w:fill="F2F5FA"/>
            <w:vAlign w:val="center"/>
          </w:tcPr>
          <w:p>
            <w:pPr>
              <w:spacing w:after="0"/>
            </w:pPr>
            <w:r>
              <w:rPr>
                <w:rFonts w:ascii="游ゴシック" w:hAnsi="游ゴシック" w:eastAsia="游ゴシック"/>
                <w:b/>
                <w:sz w:val="18"/>
              </w:rPr>
              <w:t>要介護度の構成</w:t>
            </w:r>
          </w:p>
        </w:tc>
        <w:tc>
          <w:tcPr>
            <w:tcW w:type="dxa" w:w="3969"/>
            <w:shd w:val="clear" w:color="auto" w:fill="F2F5FA"/>
            <w:vAlign w:val="center"/>
          </w:tcPr>
          <w:p>
            <w:pPr>
              <w:spacing w:after="0"/>
            </w:pPr>
            <w:r>
              <w:rPr>
                <w:rFonts w:ascii="游ゴシック" w:hAnsi="游ゴシック" w:eastAsia="游ゴシック"/>
                <w:b w:val="0"/>
                <w:sz w:val="18"/>
              </w:rPr>
              <w:t>**令和8年10月1日に確定した。**年齢階級ごとの要介護度の構成を令和7年度末（年報 様式1の5）の実績で固定し、将来</w:t>
            </w:r>
          </w:p>
        </w:tc>
        <w:tc>
          <w:tcPr>
            <w:tcW w:type="dxa" w:w="1247"/>
            <w:shd w:val="clear" w:color="auto" w:fill="F2F5FA"/>
            <w:vAlign w:val="center"/>
          </w:tcPr>
          <w:p>
            <w:pPr>
              <w:spacing w:after="0"/>
            </w:pPr>
            <w:r>
              <w:rPr>
                <w:rFonts w:ascii="游ゴシック" w:hAnsi="游ゴシック" w:eastAsia="游ゴシック"/>
                <w:b w:val="0"/>
                <w:sz w:val="18"/>
              </w:rPr>
              <w:t>―</w:t>
            </w:r>
          </w:p>
        </w:tc>
        <w:tc>
          <w:tcPr>
            <w:tcW w:type="dxa" w:w="2381"/>
            <w:shd w:val="clear" w:color="auto" w:fill="F2F5FA"/>
            <w:vAlign w:val="center"/>
          </w:tcPr>
          <w:p>
            <w:pPr>
              <w:spacing w:after="0"/>
            </w:pPr>
            <w:r>
              <w:rPr>
                <w:rFonts w:ascii="游ゴシック" w:hAnsi="游ゴシック" w:eastAsia="游ゴシック"/>
                <w:b w:val="0"/>
                <w:sz w:val="18"/>
              </w:rPr>
              <w:t>一律の伸びとの差は月額＋10円</w:t>
            </w:r>
          </w:p>
        </w:tc>
      </w:tr>
      <w:tr>
        <w:trPr>
          <w:cantSplit/>
        </w:trPr>
        <w:tc>
          <w:tcPr>
            <w:tcW w:type="dxa" w:w="1928"/>
            <w:vAlign w:val="center"/>
          </w:tcPr>
          <w:p>
            <w:pPr>
              <w:spacing w:after="0"/>
            </w:pPr>
            <w:r>
              <w:rPr>
                <w:rFonts w:ascii="游ゴシック" w:hAnsi="游ゴシック" w:eastAsia="游ゴシック"/>
                <w:b/>
                <w:sz w:val="18"/>
              </w:rPr>
              <w:t>地域支援事業費（B）</w:t>
            </w:r>
          </w:p>
        </w:tc>
        <w:tc>
          <w:tcPr>
            <w:tcW w:type="dxa" w:w="3969"/>
            <w:vAlign w:val="center"/>
          </w:tcPr>
          <w:p>
            <w:pPr>
              <w:spacing w:after="0"/>
            </w:pPr>
            <w:r>
              <w:rPr>
                <w:rFonts w:ascii="游ゴシック" w:hAnsi="游ゴシック" w:eastAsia="游ゴシック"/>
                <w:b w:val="0"/>
                <w:sz w:val="18"/>
              </w:rPr>
              <w:t>令和6年度決算額（保険者機能強化推進事業費及び保険者努力支援事業費を除く）を3年据え置いた</w:t>
            </w:r>
          </w:p>
        </w:tc>
        <w:tc>
          <w:tcPr>
            <w:tcW w:type="dxa" w:w="1247"/>
            <w:vAlign w:val="center"/>
          </w:tcPr>
          <w:p>
            <w:pPr>
              <w:spacing w:after="0"/>
            </w:pPr>
            <w:r>
              <w:rPr>
                <w:rFonts w:ascii="游ゴシック" w:hAnsi="游ゴシック" w:eastAsia="游ゴシック"/>
                <w:b w:val="0"/>
                <w:sz w:val="18"/>
              </w:rPr>
              <w:t>No.86</w:t>
            </w:r>
          </w:p>
        </w:tc>
        <w:tc>
          <w:tcPr>
            <w:tcW w:type="dxa" w:w="2381"/>
            <w:vAlign w:val="center"/>
          </w:tcPr>
          <w:p>
            <w:pPr>
              <w:spacing w:after="0"/>
            </w:pPr>
            <w:r>
              <w:rPr>
                <w:rFonts w:ascii="游ゴシック" w:hAnsi="游ゴシック" w:eastAsia="游ゴシック"/>
                <w:b w:val="0"/>
                <w:sz w:val="18"/>
              </w:rPr>
              <w:t>交付見込額の控除方法によって動く（確認事項No.86）</w:t>
            </w:r>
          </w:p>
        </w:tc>
      </w:tr>
      <w:tr>
        <w:trPr>
          <w:cantSplit/>
        </w:trPr>
        <w:tc>
          <w:tcPr>
            <w:tcW w:type="dxa" w:w="1928"/>
            <w:shd w:val="clear" w:color="auto" w:fill="F2F5FA"/>
            <w:vAlign w:val="center"/>
          </w:tcPr>
          <w:p>
            <w:pPr>
              <w:spacing w:after="0"/>
            </w:pPr>
            <w:r>
              <w:rPr>
                <w:rFonts w:ascii="游ゴシック" w:hAnsi="游ゴシック" w:eastAsia="游ゴシック"/>
                <w:b/>
                <w:sz w:val="18"/>
              </w:rPr>
              <w:t>総合事業費</w:t>
            </w:r>
          </w:p>
        </w:tc>
        <w:tc>
          <w:tcPr>
            <w:tcW w:type="dxa" w:w="3969"/>
            <w:shd w:val="clear" w:color="auto" w:fill="F2F5FA"/>
            <w:vAlign w:val="center"/>
          </w:tcPr>
          <w:p>
            <w:pPr>
              <w:spacing w:after="0"/>
            </w:pPr>
            <w:r>
              <w:rPr>
                <w:rFonts w:ascii="游ゴシック" w:hAnsi="游ゴシック" w:eastAsia="游ゴシック"/>
                <w:b w:val="0"/>
                <w:sz w:val="18"/>
              </w:rPr>
              <w:t>令和6年度の計画作成支援ツールの値（3町計107,129,318円）を3年据え置いた</w:t>
            </w:r>
          </w:p>
        </w:tc>
        <w:tc>
          <w:tcPr>
            <w:tcW w:type="dxa" w:w="1247"/>
            <w:shd w:val="clear" w:color="auto" w:fill="F2F5FA"/>
            <w:vAlign w:val="center"/>
          </w:tcPr>
          <w:p>
            <w:pPr>
              <w:spacing w:after="0"/>
            </w:pPr>
            <w:r>
              <w:rPr>
                <w:rFonts w:ascii="游ゴシック" w:hAnsi="游ゴシック" w:eastAsia="游ゴシック"/>
                <w:b w:val="0"/>
                <w:sz w:val="18"/>
              </w:rPr>
              <w:t>No.112</w:t>
            </w:r>
          </w:p>
        </w:tc>
        <w:tc>
          <w:tcPr>
            <w:tcW w:type="dxa" w:w="2381"/>
            <w:shd w:val="clear" w:color="auto" w:fill="F2F5FA"/>
            <w:vAlign w:val="center"/>
          </w:tcPr>
          <w:p>
            <w:pPr>
              <w:spacing w:after="0"/>
            </w:pPr>
            <w:r>
              <w:rPr>
                <w:rFonts w:ascii="游ゴシック" w:hAnsi="游ゴシック" w:eastAsia="游ゴシック"/>
                <w:b w:val="0"/>
                <w:sz w:val="18"/>
              </w:rPr>
              <w:t>調整交付金の算定基礎に入る。差5,854,697円で月額約▲7円</w:t>
            </w:r>
          </w:p>
        </w:tc>
      </w:tr>
      <w:tr>
        <w:trPr>
          <w:cantSplit/>
        </w:trPr>
        <w:tc>
          <w:tcPr>
            <w:tcW w:type="dxa" w:w="1928"/>
            <w:vAlign w:val="center"/>
          </w:tcPr>
          <w:p>
            <w:pPr>
              <w:spacing w:after="0"/>
            </w:pPr>
            <w:r>
              <w:rPr>
                <w:rFonts w:ascii="游ゴシック" w:hAnsi="游ゴシック" w:eastAsia="游ゴシック"/>
                <w:b/>
                <w:sz w:val="18"/>
              </w:rPr>
              <w:t>総合事業の量の見込み</w:t>
            </w:r>
          </w:p>
        </w:tc>
        <w:tc>
          <w:tcPr>
            <w:tcW w:type="dxa" w:w="3969"/>
            <w:vAlign w:val="center"/>
          </w:tcPr>
          <w:p>
            <w:pPr>
              <w:spacing w:after="0"/>
            </w:pPr>
            <w:r>
              <w:rPr>
                <w:rFonts w:ascii="游ゴシック" w:hAnsi="游ゴシック" w:eastAsia="游ゴシック"/>
                <w:b w:val="0"/>
                <w:sz w:val="18"/>
              </w:rPr>
              <w:t>令和6年度の実施状況調査の実績を基礎とし、サービス事業は認定者数、一般介護予防事業は第1号被保険者数の伸びで延ばした</w:t>
            </w:r>
          </w:p>
        </w:tc>
        <w:tc>
          <w:tcPr>
            <w:tcW w:type="dxa" w:w="1247"/>
            <w:vAlign w:val="center"/>
          </w:tcPr>
          <w:p>
            <w:pPr>
              <w:spacing w:after="0"/>
            </w:pPr>
            <w:r>
              <w:rPr>
                <w:rFonts w:ascii="游ゴシック" w:hAnsi="游ゴシック" w:eastAsia="游ゴシック"/>
                <w:b w:val="0"/>
                <w:sz w:val="18"/>
              </w:rPr>
              <w:t>No.112</w:t>
            </w:r>
          </w:p>
        </w:tc>
        <w:tc>
          <w:tcPr>
            <w:tcW w:type="dxa" w:w="2381"/>
            <w:vAlign w:val="center"/>
          </w:tcPr>
          <w:p>
            <w:pPr>
              <w:spacing w:after="0"/>
            </w:pPr>
            <w:r>
              <w:rPr>
                <w:rFonts w:ascii="游ゴシック" w:hAnsi="游ゴシック" w:eastAsia="游ゴシック"/>
                <w:b w:val="0"/>
                <w:sz w:val="18"/>
              </w:rPr>
              <w:t>給付費には入らない（保険料への効きはない）</w:t>
            </w:r>
          </w:p>
        </w:tc>
      </w:tr>
      <w:tr>
        <w:trPr>
          <w:cantSplit/>
        </w:trPr>
        <w:tc>
          <w:tcPr>
            <w:tcW w:type="dxa" w:w="1928"/>
            <w:shd w:val="clear" w:color="auto" w:fill="F2F5FA"/>
            <w:vAlign w:val="center"/>
          </w:tcPr>
          <w:p>
            <w:pPr>
              <w:spacing w:after="0"/>
            </w:pPr>
            <w:r>
              <w:rPr>
                <w:rFonts w:ascii="游ゴシック" w:hAnsi="游ゴシック" w:eastAsia="游ゴシック"/>
                <w:b/>
                <w:sz w:val="18"/>
              </w:rPr>
              <w:t>必要利用定員総数</w:t>
            </w:r>
          </w:p>
        </w:tc>
        <w:tc>
          <w:tcPr>
            <w:tcW w:type="dxa" w:w="3969"/>
            <w:shd w:val="clear" w:color="auto" w:fill="F2F5FA"/>
            <w:vAlign w:val="center"/>
          </w:tcPr>
          <w:p>
            <w:pPr>
              <w:spacing w:after="0"/>
            </w:pPr>
            <w:r>
              <w:rPr>
                <w:rFonts w:ascii="游ゴシック" w:hAnsi="游ゴシック" w:eastAsia="游ゴシック"/>
                <w:b w:val="0"/>
                <w:sz w:val="18"/>
              </w:rPr>
              <w:t>現に指定を受けている定員を第10期を通じて据え置く案を掲げた。計画素案の本文は［要協議］のまま残している</w:t>
            </w:r>
          </w:p>
        </w:tc>
        <w:tc>
          <w:tcPr>
            <w:tcW w:type="dxa" w:w="1247"/>
            <w:shd w:val="clear" w:color="auto" w:fill="F2F5FA"/>
            <w:vAlign w:val="center"/>
          </w:tcPr>
          <w:p>
            <w:pPr>
              <w:spacing w:after="0"/>
            </w:pPr>
            <w:r>
              <w:rPr>
                <w:rFonts w:ascii="游ゴシック" w:hAnsi="游ゴシック" w:eastAsia="游ゴシック"/>
                <w:b w:val="0"/>
                <w:sz w:val="18"/>
              </w:rPr>
              <w:t>No.88・No.84</w:t>
            </w:r>
          </w:p>
        </w:tc>
        <w:tc>
          <w:tcPr>
            <w:tcW w:type="dxa" w:w="2381"/>
            <w:shd w:val="clear" w:color="auto" w:fill="F2F5FA"/>
            <w:vAlign w:val="center"/>
          </w:tcPr>
          <w:p>
            <w:pPr>
              <w:spacing w:after="0"/>
            </w:pPr>
            <w:r>
              <w:rPr>
                <w:rFonts w:ascii="游ゴシック" w:hAnsi="游ゴシック" w:eastAsia="游ゴシック"/>
                <w:b w:val="0"/>
                <w:sz w:val="18"/>
              </w:rPr>
              <w:t>整備を行えば見込量と給付費が動く</w:t>
            </w:r>
          </w:p>
        </w:tc>
      </w:tr>
      <w:tr>
        <w:trPr>
          <w:cantSplit/>
        </w:trPr>
        <w:tc>
          <w:tcPr>
            <w:tcW w:type="dxa" w:w="1928"/>
            <w:vAlign w:val="center"/>
          </w:tcPr>
          <w:p>
            <w:pPr>
              <w:spacing w:after="0"/>
            </w:pPr>
            <w:r>
              <w:rPr>
                <w:rFonts w:ascii="游ゴシック" w:hAnsi="游ゴシック" w:eastAsia="游ゴシック"/>
                <w:b/>
                <w:sz w:val="18"/>
              </w:rPr>
              <w:t>認知症対応型共同生活介護の定員</w:t>
            </w:r>
          </w:p>
        </w:tc>
        <w:tc>
          <w:tcPr>
            <w:tcW w:type="dxa" w:w="3969"/>
            <w:vAlign w:val="center"/>
          </w:tcPr>
          <w:p>
            <w:pPr>
              <w:spacing w:after="0"/>
            </w:pPr>
            <w:r>
              <w:rPr>
                <w:rFonts w:ascii="游ゴシック" w:hAnsi="游ゴシック" w:eastAsia="游ゴシック"/>
                <w:b w:val="0"/>
                <w:sz w:val="18"/>
              </w:rPr>
              <w:t>判明している99人に［要確認］を併記した</w:t>
            </w:r>
          </w:p>
        </w:tc>
        <w:tc>
          <w:tcPr>
            <w:tcW w:type="dxa" w:w="1247"/>
            <w:vAlign w:val="center"/>
          </w:tcPr>
          <w:p>
            <w:pPr>
              <w:spacing w:after="0"/>
            </w:pPr>
            <w:r>
              <w:rPr>
                <w:rFonts w:ascii="游ゴシック" w:hAnsi="游ゴシック" w:eastAsia="游ゴシック"/>
                <w:b w:val="0"/>
                <w:sz w:val="18"/>
              </w:rPr>
              <w:t>No.88</w:t>
            </w:r>
          </w:p>
        </w:tc>
        <w:tc>
          <w:tcPr>
            <w:tcW w:type="dxa" w:w="2381"/>
            <w:vAlign w:val="center"/>
          </w:tcPr>
          <w:p>
            <w:pPr>
              <w:spacing w:after="0"/>
            </w:pPr>
            <w:r>
              <w:rPr>
                <w:rFonts w:ascii="游ゴシック" w:hAnsi="游ゴシック" w:eastAsia="游ゴシック"/>
                <w:b w:val="0"/>
                <w:sz w:val="18"/>
              </w:rPr>
              <w:t>定員の確定は必要利用定員総数の前提</w:t>
            </w:r>
          </w:p>
        </w:tc>
      </w:tr>
      <w:tr>
        <w:trPr>
          <w:cantSplit/>
        </w:trPr>
        <w:tc>
          <w:tcPr>
            <w:tcW w:type="dxa" w:w="1928"/>
            <w:shd w:val="clear" w:color="auto" w:fill="F2F5FA"/>
            <w:vAlign w:val="center"/>
          </w:tcPr>
          <w:p>
            <w:pPr>
              <w:spacing w:after="0"/>
            </w:pPr>
            <w:r>
              <w:rPr>
                <w:rFonts w:ascii="游ゴシック" w:hAnsi="游ゴシック" w:eastAsia="游ゴシック"/>
                <w:b/>
                <w:sz w:val="18"/>
              </w:rPr>
              <w:t>施設・居住系の定員の縮小</w:t>
            </w:r>
          </w:p>
        </w:tc>
        <w:tc>
          <w:tcPr>
            <w:tcW w:type="dxa" w:w="3969"/>
            <w:shd w:val="clear" w:color="auto" w:fill="F2F5FA"/>
            <w:vAlign w:val="center"/>
          </w:tcPr>
          <w:p>
            <w:pPr>
              <w:spacing w:after="0"/>
            </w:pPr>
            <w:r>
              <w:rPr>
                <w:rFonts w:ascii="游ゴシック" w:hAnsi="游ゴシック" w:eastAsia="游ゴシック"/>
                <w:b w:val="0"/>
                <w:sz w:val="18"/>
              </w:rPr>
              <w:t>令和7年度の実績を基礎とし、定員の縮小を将来へ延長しない（安全側）</w:t>
            </w:r>
          </w:p>
        </w:tc>
        <w:tc>
          <w:tcPr>
            <w:tcW w:type="dxa" w:w="1247"/>
            <w:shd w:val="clear" w:color="auto" w:fill="F2F5FA"/>
            <w:vAlign w:val="center"/>
          </w:tcPr>
          <w:p>
            <w:pPr>
              <w:spacing w:after="0"/>
            </w:pPr>
            <w:r>
              <w:rPr>
                <w:rFonts w:ascii="游ゴシック" w:hAnsi="游ゴシック" w:eastAsia="游ゴシック"/>
                <w:b w:val="0"/>
                <w:sz w:val="18"/>
              </w:rPr>
              <w:t>No.107</w:t>
            </w:r>
          </w:p>
        </w:tc>
        <w:tc>
          <w:tcPr>
            <w:tcW w:type="dxa" w:w="2381"/>
            <w:shd w:val="clear" w:color="auto" w:fill="F2F5FA"/>
            <w:vAlign w:val="center"/>
          </w:tcPr>
          <w:p>
            <w:pPr>
              <w:spacing w:after="0"/>
            </w:pPr>
            <w:r>
              <w:rPr>
                <w:rFonts w:ascii="游ゴシック" w:hAnsi="游ゴシック" w:eastAsia="游ゴシック"/>
                <w:b w:val="0"/>
                <w:sz w:val="18"/>
              </w:rPr>
              <w:t>縮小を延長すると給付費が下がり保険料が不足する側に誤る</w:t>
            </w:r>
          </w:p>
        </w:tc>
      </w:tr>
      <w:tr>
        <w:trPr>
          <w:cantSplit/>
        </w:trPr>
        <w:tc>
          <w:tcPr>
            <w:tcW w:type="dxa" w:w="1928"/>
            <w:vAlign w:val="center"/>
          </w:tcPr>
          <w:p>
            <w:pPr>
              <w:spacing w:after="0"/>
            </w:pPr>
            <w:r>
              <w:rPr>
                <w:rFonts w:ascii="游ゴシック" w:hAnsi="游ゴシック" w:eastAsia="游ゴシック"/>
                <w:b/>
                <w:sz w:val="18"/>
              </w:rPr>
              <w:t>対計画比の偏りの補正</w:t>
            </w:r>
          </w:p>
        </w:tc>
        <w:tc>
          <w:tcPr>
            <w:tcW w:type="dxa" w:w="3969"/>
            <w:vAlign w:val="center"/>
          </w:tcPr>
          <w:p>
            <w:pPr>
              <w:spacing w:after="0"/>
            </w:pPr>
            <w:r>
              <w:rPr>
                <w:rFonts w:ascii="游ゴシック" w:hAnsi="游ゴシック" w:eastAsia="游ゴシック"/>
                <w:b w:val="0"/>
                <w:sz w:val="18"/>
              </w:rPr>
              <w:t>補正を行わない（一律の伸び）。本表はサービス別の伸びの差を織り込んでいない</w:t>
            </w:r>
          </w:p>
        </w:tc>
        <w:tc>
          <w:tcPr>
            <w:tcW w:type="dxa" w:w="1247"/>
            <w:vAlign w:val="center"/>
          </w:tcPr>
          <w:p>
            <w:pPr>
              <w:spacing w:after="0"/>
            </w:pPr>
            <w:r>
              <w:rPr>
                <w:rFonts w:ascii="游ゴシック" w:hAnsi="游ゴシック" w:eastAsia="游ゴシック"/>
                <w:b w:val="0"/>
                <w:sz w:val="18"/>
              </w:rPr>
              <w:t>No.106</w:t>
            </w:r>
          </w:p>
        </w:tc>
        <w:tc>
          <w:tcPr>
            <w:tcW w:type="dxa" w:w="2381"/>
            <w:vAlign w:val="center"/>
          </w:tcPr>
          <w:p>
            <w:pPr>
              <w:spacing w:after="0"/>
            </w:pPr>
            <w:r>
              <w:rPr>
                <w:rFonts w:ascii="游ゴシック" w:hAnsi="游ゴシック" w:eastAsia="游ゴシック"/>
                <w:b w:val="0"/>
                <w:sz w:val="18"/>
              </w:rPr>
              <w:t>補正のみで月額▲58円、施設・居住系を減らさない条件を加えると＋48円</w:t>
            </w:r>
          </w:p>
        </w:tc>
      </w:tr>
      <w:tr>
        <w:trPr>
          <w:cantSplit/>
        </w:trPr>
        <w:tc>
          <w:tcPr>
            <w:tcW w:type="dxa" w:w="1928"/>
            <w:shd w:val="clear" w:color="auto" w:fill="F2F5FA"/>
            <w:vAlign w:val="center"/>
          </w:tcPr>
          <w:p>
            <w:pPr>
              <w:spacing w:after="0"/>
            </w:pPr>
            <w:r>
              <w:rPr>
                <w:rFonts w:ascii="游ゴシック" w:hAnsi="游ゴシック" w:eastAsia="游ゴシック"/>
                <w:b/>
                <w:sz w:val="18"/>
              </w:rPr>
              <w:t>季節補正</w:t>
            </w:r>
          </w:p>
        </w:tc>
        <w:tc>
          <w:tcPr>
            <w:tcW w:type="dxa" w:w="3969"/>
            <w:shd w:val="clear" w:color="auto" w:fill="F2F5FA"/>
            <w:vAlign w:val="center"/>
          </w:tcPr>
          <w:p>
            <w:pPr>
              <w:spacing w:after="0"/>
            </w:pPr>
            <w:r>
              <w:rPr>
                <w:rFonts w:ascii="游ゴシック" w:hAnsi="游ゴシック" w:eastAsia="游ゴシック"/>
                <w:b w:val="0"/>
                <w:sz w:val="18"/>
              </w:rPr>
              <w:t>**令和8年10月1日に確定した。**季節補正を行わない。基準年度が12か月の完結年度であるため季節指数の和は12となり</w:t>
            </w:r>
          </w:p>
        </w:tc>
        <w:tc>
          <w:tcPr>
            <w:tcW w:type="dxa" w:w="1247"/>
            <w:shd w:val="clear" w:color="auto" w:fill="F2F5FA"/>
            <w:vAlign w:val="center"/>
          </w:tcPr>
          <w:p>
            <w:pPr>
              <w:spacing w:after="0"/>
            </w:pPr>
            <w:r>
              <w:rPr>
                <w:rFonts w:ascii="游ゴシック" w:hAnsi="游ゴシック" w:eastAsia="游ゴシック"/>
                <w:b w:val="0"/>
                <w:sz w:val="18"/>
              </w:rPr>
              <w:t>No.103</w:t>
            </w:r>
          </w:p>
        </w:tc>
        <w:tc>
          <w:tcPr>
            <w:tcW w:type="dxa" w:w="2381"/>
            <w:shd w:val="clear" w:color="auto" w:fill="F2F5FA"/>
            <w:vAlign w:val="center"/>
          </w:tcPr>
          <w:p>
            <w:pPr>
              <w:spacing w:after="0"/>
            </w:pPr>
            <w:r>
              <w:rPr>
                <w:rFonts w:ascii="游ゴシック" w:hAnsi="游ゴシック" w:eastAsia="游ゴシック"/>
                <w:b w:val="0"/>
                <w:sz w:val="18"/>
              </w:rPr>
              <w:t>効きは0円</w:t>
            </w:r>
          </w:p>
        </w:tc>
      </w:tr>
    </w:tbl>
    <w:p>
      <w:pPr>
        <w:ind w:left="227"/>
      </w:pPr>
      <w:r>
        <w:rPr>
          <w:rFonts w:ascii="游ゴシック" w:hAnsi="游ゴシック" w:eastAsia="游ゴシック"/>
          <w:sz w:val="18"/>
        </w:rPr>
        <w:t>※ 全23件は別冊「サービス見込量の算定 第1次概算」15シートにあります。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安全側に置いたものは次の3件です。</w:t>
      </w:r>
    </w:p>
    <w:p>
      <w:pPr>
        <w:ind w:left="340" w:hanging="340"/>
      </w:pPr>
      <w:r>
        <w:rPr>
          <w:rFonts w:ascii="游ゴシック" w:hAnsi="游ゴシック" w:eastAsia="游ゴシック"/>
          <w:sz w:val="20"/>
        </w:rPr>
        <w:t>・施策による見込量の増減を織り込まない（自然体）</w:t>
      </w:r>
    </w:p>
    <w:p>
      <w:pPr>
        <w:ind w:left="340" w:hanging="340"/>
      </w:pPr>
      <w:r>
        <w:rPr>
          <w:rFonts w:ascii="游ゴシック" w:hAnsi="游ゴシック" w:eastAsia="游ゴシック"/>
          <w:sz w:val="20"/>
        </w:rPr>
        <w:t>・給付適正化による抑制を織り込まない</w:t>
      </w:r>
    </w:p>
    <w:p>
      <w:pPr>
        <w:ind w:left="340" w:hanging="340"/>
      </w:pPr>
      <w:r>
        <w:rPr>
          <w:rFonts w:ascii="游ゴシック" w:hAnsi="游ゴシック" w:eastAsia="游ゴシック"/>
          <w:sz w:val="20"/>
        </w:rPr>
        <w:t>・施設・居住系の実績の減少を将来へ延長しない</w:t>
      </w:r>
    </w:p>
    <w:p>
      <w:r>
        <w:br w:type="page"/>
      </w:r>
    </w:p>
    <w:p>
      <w:pPr>
        <w:keepNext/>
        <w:spacing w:before="280" w:after="120"/>
      </w:pPr>
      <w:r>
        <w:rPr>
          <w:rFonts w:ascii="游ゴシック" w:hAnsi="游ゴシック" w:eastAsia="游ゴシック"/>
          <w:b/>
          <w:color w:val="1F3864"/>
          <w:sz w:val="26"/>
        </w:rPr>
        <w:t>第3節　電話で照会するときの進め方</w:t>
      </w:r>
    </w:p>
    <w:p>
      <w:pPr>
        <w:keepNext/>
        <w:spacing w:before="180" w:after="60"/>
      </w:pPr>
      <w:r>
        <w:rPr>
          <w:rFonts w:ascii="游ゴシック" w:hAnsi="游ゴシック" w:eastAsia="游ゴシック"/>
          <w:b/>
          <w:sz w:val="22"/>
        </w:rPr>
        <w:t>１　電話の前に手元に置くもの</w:t>
      </w:r>
    </w:p>
    <w:p>
      <w:pPr>
        <w:ind w:left="340" w:hanging="340"/>
      </w:pPr>
      <w:r>
        <w:rPr>
          <w:rFonts w:ascii="游ゴシック" w:hAnsi="游ゴシック" w:eastAsia="游ゴシック"/>
          <w:sz w:val="20"/>
        </w:rPr>
        <w:t>・照会する事項を書いた紙（1件につき1枚。本書 第5節の様式）</w:t>
      </w:r>
    </w:p>
    <w:p>
      <w:pPr>
        <w:ind w:left="340" w:hanging="340"/>
      </w:pPr>
      <w:r>
        <w:rPr>
          <w:rFonts w:ascii="游ゴシック" w:hAnsi="游ゴシック" w:eastAsia="游ゴシック"/>
          <w:sz w:val="20"/>
        </w:rPr>
        <w:t>・突き合わせた数値そのもの（本書 第6節）</w:t>
      </w:r>
    </w:p>
    <w:p>
      <w:pPr>
        <w:ind w:left="340" w:hanging="340"/>
      </w:pPr>
      <w:r>
        <w:rPr>
          <w:rFonts w:ascii="游ゴシック" w:hAnsi="游ゴシック" w:eastAsia="游ゴシック"/>
          <w:sz w:val="20"/>
        </w:rPr>
        <w:t>・こちらの希望期限と、届かない場合にどうするか（既定値）</w:t>
      </w:r>
    </w:p>
    <w:p>
      <w:pPr>
        <w:ind w:left="340" w:hanging="340"/>
      </w:pPr>
      <w:r>
        <w:rPr>
          <w:rFonts w:ascii="游ゴシック" w:hAnsi="游ゴシック" w:eastAsia="游ゴシック"/>
          <w:sz w:val="20"/>
        </w:rPr>
        <w:t>・業務工程管理表 03_確認事項一覧の該当行（No.と件名）</w:t>
      </w:r>
    </w:p>
    <w:p>
      <w:pPr>
        <w:keepNext/>
        <w:spacing w:before="180" w:after="60"/>
      </w:pPr>
      <w:r>
        <w:rPr>
          <w:rFonts w:ascii="游ゴシック" w:hAnsi="游ゴシック" w:eastAsia="游ゴシック"/>
          <w:b/>
          <w:sz w:val="22"/>
        </w:rPr>
        <w:t>２　話す順序</w:t>
      </w:r>
    </w:p>
    <w:p>
      <w:pPr>
        <w:keepNext/>
        <w:spacing w:before="160" w:after="40"/>
      </w:pPr>
      <w:r>
        <w:rPr>
          <w:rFonts w:ascii="游ゴシック" w:hAnsi="游ゴシック" w:eastAsia="游ゴシック"/>
          <w:b/>
          <w:sz w:val="20"/>
        </w:rPr>
        <w:t>表5　電話の組み立て（5段階）</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3251"/>
        <w:gridCol w:w="3251"/>
        <w:gridCol w:w="3251"/>
      </w:tblGrid>
      <w:tr>
        <w:trPr>
          <w:tblHeader/>
        </w:trPr>
        <w:tc>
          <w:tcPr>
            <w:tcW w:type="dxa" w:w="1134"/>
            <w:shd w:val="clear" w:color="auto" w:fill="1F3864"/>
            <w:vAlign w:val="center"/>
          </w:tcPr>
          <w:p>
            <w:pPr>
              <w:spacing w:after="0"/>
              <w:jc w:val="center"/>
            </w:pPr>
            <w:r>
              <w:rPr>
                <w:rFonts w:ascii="游ゴシック" w:hAnsi="游ゴシック" w:eastAsia="游ゴシック"/>
                <w:b/>
                <w:color w:val="FFFFFF"/>
                <w:sz w:val="18"/>
              </w:rPr>
              <w:t>段階</w:t>
            </w:r>
          </w:p>
        </w:tc>
        <w:tc>
          <w:tcPr>
            <w:tcW w:type="dxa" w:w="3969"/>
            <w:shd w:val="clear" w:color="auto" w:fill="1F3864"/>
            <w:vAlign w:val="center"/>
          </w:tcPr>
          <w:p>
            <w:pPr>
              <w:spacing w:after="0"/>
              <w:jc w:val="center"/>
            </w:pPr>
            <w:r>
              <w:rPr>
                <w:rFonts w:ascii="游ゴシック" w:hAnsi="游ゴシック" w:eastAsia="游ゴシック"/>
                <w:b/>
                <w:color w:val="FFFFFF"/>
                <w:sz w:val="18"/>
              </w:rPr>
              <w:t>話すこと</w:t>
            </w:r>
          </w:p>
        </w:tc>
        <w:tc>
          <w:tcPr>
            <w:tcW w:type="dxa" w:w="4535"/>
            <w:shd w:val="clear" w:color="auto" w:fill="1F3864"/>
            <w:vAlign w:val="center"/>
          </w:tcPr>
          <w:p>
            <w:pPr>
              <w:spacing w:after="0"/>
              <w:jc w:val="center"/>
            </w:pPr>
            <w:r>
              <w:rPr>
                <w:rFonts w:ascii="游ゴシック" w:hAnsi="游ゴシック" w:eastAsia="游ゴシック"/>
                <w:b/>
                <w:color w:val="FFFFFF"/>
                <w:sz w:val="18"/>
              </w:rPr>
              <w:t>言い方のねらい</w:t>
            </w:r>
          </w:p>
        </w:tc>
      </w:tr>
      <w:tr>
        <w:trPr>
          <w:cantSplit/>
        </w:trPr>
        <w:tc>
          <w:tcPr>
            <w:tcW w:type="dxa" w:w="1134"/>
            <w:vAlign w:val="center"/>
          </w:tcPr>
          <w:p>
            <w:pPr>
              <w:spacing w:after="0"/>
            </w:pPr>
            <w:r>
              <w:rPr>
                <w:rFonts w:ascii="游ゴシック" w:hAnsi="游ゴシック" w:eastAsia="游ゴシック"/>
                <w:b/>
                <w:sz w:val="18"/>
              </w:rPr>
              <w:t>① 名乗り</w:t>
            </w:r>
          </w:p>
        </w:tc>
        <w:tc>
          <w:tcPr>
            <w:tcW w:type="dxa" w:w="3969"/>
            <w:vAlign w:val="center"/>
          </w:tcPr>
          <w:p>
            <w:pPr>
              <w:spacing w:after="0"/>
            </w:pPr>
            <w:r>
              <w:rPr>
                <w:rFonts w:ascii="游ゴシック" w:hAnsi="游ゴシック" w:eastAsia="游ゴシック"/>
                <w:b w:val="0"/>
                <w:sz w:val="18"/>
              </w:rPr>
              <w:t>会社名・氏名・何の業務で電話しているか</w:t>
            </w:r>
          </w:p>
        </w:tc>
        <w:tc>
          <w:tcPr>
            <w:tcW w:type="dxa" w:w="4535"/>
            <w:vAlign w:val="center"/>
          </w:tcPr>
          <w:p>
            <w:pPr>
              <w:spacing w:after="0"/>
            </w:pPr>
            <w:r>
              <w:rPr>
                <w:rFonts w:ascii="游ゴシック" w:hAnsi="游ゴシック" w:eastAsia="游ゴシック"/>
                <w:b w:val="0"/>
                <w:sz w:val="18"/>
              </w:rPr>
              <w:t>相手が「どの案件か」をすぐに思い出せるようにする</w:t>
            </w:r>
          </w:p>
        </w:tc>
      </w:tr>
      <w:tr>
        <w:trPr>
          <w:cantSplit/>
        </w:trPr>
        <w:tc>
          <w:tcPr>
            <w:tcW w:type="dxa" w:w="1134"/>
            <w:shd w:val="clear" w:color="auto" w:fill="F2F5FA"/>
            <w:vAlign w:val="center"/>
          </w:tcPr>
          <w:p>
            <w:pPr>
              <w:spacing w:after="0"/>
            </w:pPr>
            <w:r>
              <w:rPr>
                <w:rFonts w:ascii="游ゴシック" w:hAnsi="游ゴシック" w:eastAsia="游ゴシック"/>
                <w:b/>
                <w:sz w:val="18"/>
              </w:rPr>
              <w:t>② 用件の一言</w:t>
            </w:r>
          </w:p>
        </w:tc>
        <w:tc>
          <w:tcPr>
            <w:tcW w:type="dxa" w:w="3969"/>
            <w:shd w:val="clear" w:color="auto" w:fill="F2F5FA"/>
            <w:vAlign w:val="center"/>
          </w:tcPr>
          <w:p>
            <w:pPr>
              <w:spacing w:after="0"/>
            </w:pPr>
            <w:r>
              <w:rPr>
                <w:rFonts w:ascii="游ゴシック" w:hAnsi="游ゴシック" w:eastAsia="游ゴシック"/>
                <w:b w:val="0"/>
                <w:sz w:val="18"/>
              </w:rPr>
              <w:t>「○○の件で、確認をお願いしたいことが1件あります」</w:t>
            </w:r>
          </w:p>
        </w:tc>
        <w:tc>
          <w:tcPr>
            <w:tcW w:type="dxa" w:w="4535"/>
            <w:shd w:val="clear" w:color="auto" w:fill="F2F5FA"/>
            <w:vAlign w:val="center"/>
          </w:tcPr>
          <w:p>
            <w:pPr>
              <w:spacing w:after="0"/>
            </w:pPr>
            <w:r>
              <w:rPr>
                <w:rFonts w:ascii="游ゴシック" w:hAnsi="游ゴシック" w:eastAsia="游ゴシック"/>
                <w:b w:val="0"/>
                <w:sz w:val="18"/>
              </w:rPr>
              <w:t>先に件数と所要時間の見当を伝える</w:t>
            </w:r>
          </w:p>
        </w:tc>
      </w:tr>
      <w:tr>
        <w:trPr>
          <w:cantSplit/>
        </w:trPr>
        <w:tc>
          <w:tcPr>
            <w:tcW w:type="dxa" w:w="1134"/>
            <w:vAlign w:val="center"/>
          </w:tcPr>
          <w:p>
            <w:pPr>
              <w:spacing w:after="0"/>
            </w:pPr>
            <w:r>
              <w:rPr>
                <w:rFonts w:ascii="游ゴシック" w:hAnsi="游ゴシック" w:eastAsia="游ゴシック"/>
                <w:b/>
                <w:sz w:val="18"/>
              </w:rPr>
              <w:t>③ 事実の確認</w:t>
            </w:r>
          </w:p>
        </w:tc>
        <w:tc>
          <w:tcPr>
            <w:tcW w:type="dxa" w:w="3969"/>
            <w:vAlign w:val="center"/>
          </w:tcPr>
          <w:p>
            <w:pPr>
              <w:spacing w:after="0"/>
            </w:pPr>
            <w:r>
              <w:rPr>
                <w:rFonts w:ascii="游ゴシック" w:hAnsi="游ゴシック" w:eastAsia="游ゴシック"/>
                <w:b w:val="0"/>
                <w:sz w:val="18"/>
              </w:rPr>
              <w:t>こちらで突き合わせた数値を、判断を交えずに読み上げる</w:t>
            </w:r>
          </w:p>
        </w:tc>
        <w:tc>
          <w:tcPr>
            <w:tcW w:type="dxa" w:w="4535"/>
            <w:vAlign w:val="center"/>
          </w:tcPr>
          <w:p>
            <w:pPr>
              <w:spacing w:after="0"/>
            </w:pPr>
            <w:r>
              <w:rPr>
                <w:rFonts w:ascii="游ゴシック" w:hAnsi="游ゴシック" w:eastAsia="游ゴシック"/>
                <w:b w:val="0"/>
                <w:sz w:val="18"/>
              </w:rPr>
              <w:t>「誤っている」ではなく「食い違っている」と言う</w:t>
            </w:r>
          </w:p>
        </w:tc>
      </w:tr>
      <w:tr>
        <w:trPr>
          <w:cantSplit/>
        </w:trPr>
        <w:tc>
          <w:tcPr>
            <w:tcW w:type="dxa" w:w="1134"/>
            <w:shd w:val="clear" w:color="auto" w:fill="F2F5FA"/>
            <w:vAlign w:val="center"/>
          </w:tcPr>
          <w:p>
            <w:pPr>
              <w:spacing w:after="0"/>
            </w:pPr>
            <w:r>
              <w:rPr>
                <w:rFonts w:ascii="游ゴシック" w:hAnsi="游ゴシック" w:eastAsia="游ゴシック"/>
                <w:b/>
                <w:sz w:val="18"/>
              </w:rPr>
              <w:t>④ お願いすること</w:t>
            </w:r>
          </w:p>
        </w:tc>
        <w:tc>
          <w:tcPr>
            <w:tcW w:type="dxa" w:w="3969"/>
            <w:shd w:val="clear" w:color="auto" w:fill="F2F5FA"/>
            <w:vAlign w:val="center"/>
          </w:tcPr>
          <w:p>
            <w:pPr>
              <w:spacing w:after="0"/>
            </w:pPr>
            <w:r>
              <w:rPr>
                <w:rFonts w:ascii="游ゴシック" w:hAnsi="游ゴシック" w:eastAsia="游ゴシック"/>
                <w:b w:val="0"/>
                <w:sz w:val="18"/>
              </w:rPr>
              <w:t>何を・いつまでに・どの形式で</w:t>
            </w:r>
          </w:p>
        </w:tc>
        <w:tc>
          <w:tcPr>
            <w:tcW w:type="dxa" w:w="4535"/>
            <w:shd w:val="clear" w:color="auto" w:fill="F2F5FA"/>
            <w:vAlign w:val="center"/>
          </w:tcPr>
          <w:p>
            <w:pPr>
              <w:spacing w:after="0"/>
            </w:pPr>
            <w:r>
              <w:rPr>
                <w:rFonts w:ascii="游ゴシック" w:hAnsi="游ゴシック" w:eastAsia="游ゴシック"/>
                <w:b w:val="0"/>
                <w:sz w:val="18"/>
              </w:rPr>
              <w:t>相手の作業量が見えるようにする</w:t>
            </w:r>
          </w:p>
        </w:tc>
      </w:tr>
      <w:tr>
        <w:trPr>
          <w:cantSplit/>
        </w:trPr>
        <w:tc>
          <w:tcPr>
            <w:tcW w:type="dxa" w:w="1134"/>
            <w:vAlign w:val="center"/>
          </w:tcPr>
          <w:p>
            <w:pPr>
              <w:spacing w:after="0"/>
            </w:pPr>
            <w:r>
              <w:rPr>
                <w:rFonts w:ascii="游ゴシック" w:hAnsi="游ゴシック" w:eastAsia="游ゴシック"/>
                <w:b/>
                <w:sz w:val="18"/>
              </w:rPr>
              <w:t>⑤ 届かない場合</w:t>
            </w:r>
          </w:p>
        </w:tc>
        <w:tc>
          <w:tcPr>
            <w:tcW w:type="dxa" w:w="3969"/>
            <w:vAlign w:val="center"/>
          </w:tcPr>
          <w:p>
            <w:pPr>
              <w:spacing w:after="0"/>
            </w:pPr>
            <w:r>
              <w:rPr>
                <w:rFonts w:ascii="游ゴシック" w:hAnsi="游ゴシック" w:eastAsia="游ゴシック"/>
                <w:b w:val="0"/>
                <w:sz w:val="18"/>
              </w:rPr>
              <w:t>「いただけない場合は当方で○○として扱います」</w:t>
            </w:r>
          </w:p>
        </w:tc>
        <w:tc>
          <w:tcPr>
            <w:tcW w:type="dxa" w:w="4535"/>
            <w:vAlign w:val="center"/>
          </w:tcPr>
          <w:p>
            <w:pPr>
              <w:spacing w:after="0"/>
            </w:pPr>
            <w:r>
              <w:rPr>
                <w:rFonts w:ascii="游ゴシック" w:hAnsi="游ゴシック" w:eastAsia="游ゴシック"/>
                <w:b w:val="0"/>
                <w:sz w:val="18"/>
              </w:rPr>
              <w:t>相手に判断の余地を残し、こちらの作業も止めない</w:t>
            </w:r>
          </w:p>
        </w:tc>
      </w:tr>
    </w:tbl>
    <w:p>
      <w:pPr>
        <w:keepNext/>
        <w:spacing w:before="180" w:after="60"/>
      </w:pPr>
      <w:r>
        <w:rPr>
          <w:rFonts w:ascii="游ゴシック" w:hAnsi="游ゴシック" w:eastAsia="游ゴシック"/>
          <w:b/>
          <w:sz w:val="22"/>
        </w:rPr>
        <w:t>３　言わないこと</w:t>
      </w:r>
    </w:p>
    <w:p>
      <w:pPr>
        <w:ind w:left="340" w:hanging="340"/>
      </w:pPr>
      <w:r>
        <w:rPr>
          <w:rFonts w:ascii="游ゴシック" w:hAnsi="游ゴシック" w:eastAsia="游ゴシック"/>
          <w:sz w:val="20"/>
        </w:rPr>
        <w:t>・「誤っています」「間違っています」。どちらのファイルが正しいかは当方では判定できません。</w:t>
      </w:r>
    </w:p>
    <w:p>
      <w:pPr>
        <w:ind w:left="340" w:hanging="340"/>
      </w:pPr>
      <w:r>
        <w:rPr>
          <w:rFonts w:ascii="游ゴシック" w:hAnsi="游ゴシック" w:eastAsia="游ゴシック"/>
          <w:sz w:val="20"/>
        </w:rPr>
        <w:t>・「回答がありません」「督促です」。相手の側で止まっているとは限りません。「行き違いでしたら失礼します」と前置きします。</w:t>
      </w:r>
    </w:p>
    <w:p>
      <w:pPr>
        <w:ind w:left="340" w:hanging="340"/>
      </w:pPr>
      <w:r>
        <w:rPr>
          <w:rFonts w:ascii="游ゴシック" w:hAnsi="游ゴシック" w:eastAsia="游ゴシック"/>
          <w:sz w:val="20"/>
        </w:rPr>
        <w:t>・他町の名前を出して比べること。本件は3町とも同じ向きに差が出ているため、特定の町の問題として話すと事実と違います。</w:t>
      </w:r>
    </w:p>
    <w:p>
      <w:pPr>
        <w:ind w:left="340" w:hanging="340"/>
      </w:pPr>
      <w:r>
        <w:rPr>
          <w:rFonts w:ascii="游ゴシック" w:hAnsi="游ゴシック" w:eastAsia="游ゴシック"/>
          <w:sz w:val="20"/>
        </w:rPr>
        <w:t>・担当者の個人名・携帯番号をこちらの資料に書き取ること（発注者指示により保管しません）。</w:t>
      </w:r>
    </w:p>
    <w:p>
      <w:r>
        <w:br w:type="page"/>
      </w:r>
    </w:p>
    <w:p>
      <w:pPr>
        <w:keepNext/>
        <w:spacing w:before="280" w:after="120"/>
      </w:pPr>
      <w:r>
        <w:rPr>
          <w:rFonts w:ascii="游ゴシック" w:hAnsi="游ゴシック" w:eastAsia="游ゴシック"/>
          <w:b/>
          <w:color w:val="1F3864"/>
          <w:sz w:val="26"/>
        </w:rPr>
        <w:t>第4節　電話連絡の例</w:t>
      </w:r>
    </w:p>
    <w:p>
      <w:pPr>
        <w:keepNext/>
        <w:spacing w:before="180" w:after="60"/>
      </w:pPr>
      <w:r>
        <w:rPr>
          <w:rFonts w:ascii="游ゴシック" w:hAnsi="游ゴシック" w:eastAsia="游ゴシック"/>
          <w:b/>
          <w:sz w:val="22"/>
        </w:rPr>
        <w:t>例1　給付費データ 令和7年度の相違（確認事項No.87。解決済み）</w:t>
      </w:r>
    </w:p>
    <w:p>
      <w:pPr>
        <w:spacing w:after="80"/>
      </w:pPr>
      <w:r>
        <w:rPr>
          <w:rFonts w:ascii="游ゴシック" w:hAnsi="游ゴシック" w:eastAsia="游ゴシック"/>
          <w:b w:val="0"/>
          <w:sz w:val="20"/>
        </w:rPr>
        <w:t>宛先　〔　　　　　　　　　〕　電話　〔　　　　　　　　　〕</w:t>
      </w:r>
    </w:p>
    <w:p>
      <w:pPr>
        <w:spacing w:after="80"/>
      </w:pPr>
      <w:r>
        <w:rPr>
          <w:rFonts w:ascii="游ゴシック" w:hAnsi="游ゴシック" w:eastAsia="游ゴシック"/>
          <w:b w:val="0"/>
          <w:sz w:val="18"/>
        </w:rPr>
        <w:t>※ 本件は令和8年9月25日に令和7年度のファイルの再提供を受けて解決しました。以下は、数値の食い違いを照会するときの言い方の例として残すものです。</w:t>
      </w:r>
    </w:p>
    <w:p>
      <w:pPr>
        <w:spacing w:after="80"/>
      </w:pPr>
      <w:r>
        <w:rPr>
          <w:rFonts w:ascii="游ゴシック" w:hAnsi="游ゴシック" w:eastAsia="游ゴシック"/>
          <w:b w:val="0"/>
          <w:sz w:val="21"/>
        </w:rPr>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お世話になっております。大雪地区広域連合の第10期介護保険事業計画の策定支援をお請けしております、ビズアップ公共コンサルティングの〔　　　〕と申します。介護保険のご担当の方はいらっしゃいますでしょうか。</w:t>
      </w:r>
    </w:p>
    <w:p>
      <w:pPr>
        <w:spacing w:after="100"/>
        <w:ind w:left="907" w:hanging="907"/>
      </w:pPr>
      <w:r>
        <w:rPr>
          <w:rFonts w:ascii="游ゴシック" w:hAnsi="游ゴシック" w:eastAsia="游ゴシック"/>
          <w:b/>
          <w:sz w:val="20"/>
        </w:rPr>
        <w:t xml:space="preserve">（取次ぎ）　</w:t>
      </w:r>
      <w:r>
        <w:rPr>
          <w:rFonts w:ascii="游ゴシック" w:hAnsi="游ゴシック" w:eastAsia="游ゴシック"/>
          <w:sz w:val="20"/>
        </w:rPr>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お忙しいところ恐れ入ります。8月28日にご提供いただきました給付費データの集計について、確認をお願いしたいことが1件ございます。5分ほどお時間をいただけますでしょうか。</w:t>
      </w:r>
    </w:p>
    <w:p>
      <w:pPr>
        <w:spacing w:after="100"/>
        <w:ind w:left="907" w:hanging="907"/>
      </w:pPr>
      <w:r>
        <w:rPr>
          <w:rFonts w:ascii="游ゴシック" w:hAnsi="游ゴシック" w:eastAsia="游ゴシック"/>
          <w:b/>
          <w:sz w:val="20"/>
        </w:rPr>
        <w:t xml:space="preserve">先方　</w:t>
      </w:r>
      <w:r>
        <w:rPr>
          <w:rFonts w:ascii="游ゴシック" w:hAnsi="游ゴシック" w:eastAsia="游ゴシック"/>
          <w:sz w:val="20"/>
        </w:rPr>
        <w:t>（応答）</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ありがとうございます。令和7年度分の数値を突き合わせましたところ、3町それぞれのファイルの合計と、「【大雪】R7.給付費データ集計」の数値とが食い違っております。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具体的には、介護度別給付費シートの総計で、3町の合計が3,213,054,558円、大雪地区広域連合のファイルが3,213,054,558円で、129,580,267円、率にして4.2％の開きがございます。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令和6年度と令和8年度は円単位で一致しておりまして、令和7年度だけが合わない状態です。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どちらかが誤っているという趣旨ではございません。抽出の条件が年度によって違っているのではないかと考えておりまして、そこを教えていただきたいというお願いでございます。</w:t>
      </w:r>
    </w:p>
    <w:p>
      <w:pPr>
        <w:spacing w:after="100"/>
        <w:ind w:left="907" w:hanging="907"/>
      </w:pPr>
      <w:r>
        <w:rPr>
          <w:rFonts w:ascii="游ゴシック" w:hAnsi="游ゴシック" w:eastAsia="游ゴシック"/>
          <w:b/>
          <w:sz w:val="20"/>
        </w:rPr>
        <w:t xml:space="preserve">先方　</w:t>
      </w:r>
      <w:r>
        <w:rPr>
          <w:rFonts w:ascii="游ゴシック" w:hAnsi="游ゴシック" w:eastAsia="游ゴシック"/>
          <w:sz w:val="20"/>
        </w:rPr>
        <w:t>（どういう違いか、という趣旨の応答）</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はい。差が要介護度によって1.7％から6.2％まで幅がございまして、1か月分が抜けたというような一様な差ではないようです。対象月で切っておられるのか、審査月で切っておられるのか、あるいは住所地特例の方の扱いが年度で違うのか、そのあたりではないかと見ており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お願いしたいことは2つでございます。1つは、令和7年度分について、どの条件で抽出されたものかを教えていただくこと。もう1つは、条件が違っていた場合に、同じ条件で作り直したファイルを1つご提供いただくことで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作り直していただく場合、個人情報が含まれる1枚目のシートは不要です。集計のシートだけで足ります。介護度別給付費、1月あたり利用者、1人1月あたり給付費、1人1月あたり利用回数の4枚です。</w:t>
      </w:r>
    </w:p>
    <w:p>
      <w:pPr>
        <w:spacing w:after="100"/>
        <w:ind w:left="907" w:hanging="907"/>
      </w:pPr>
      <w:r>
        <w:rPr>
          <w:rFonts w:ascii="游ゴシック" w:hAnsi="游ゴシック" w:eastAsia="游ゴシック"/>
          <w:b/>
          <w:sz w:val="20"/>
        </w:rPr>
        <w:t xml:space="preserve">先方　</w:t>
      </w:r>
      <w:r>
        <w:rPr>
          <w:rFonts w:ascii="游ゴシック" w:hAnsi="游ゴシック" w:eastAsia="游ゴシック"/>
          <w:sz w:val="20"/>
        </w:rPr>
        <w:t>（いつまでか、という趣旨の応答）</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サービス見込量の第2次概算を10月30日にお出しする予定ですので、10月中旬ごろまでにいただけますと、そこに反映できます。難しいようでしたらご相談ください。</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なお、いただけない場合でも算定は止まりません。保険料の算定には介護保険特別会計の決算額を用いておりますので、本件は計画書に載せる実績の記載にかかわるものでございます。その場合は、広域連合単位の値のみを用いて、町別の内訳は載せない扱いにいたします。</w:t>
      </w:r>
    </w:p>
    <w:p>
      <w:pPr>
        <w:spacing w:after="100"/>
        <w:ind w:left="907" w:hanging="907"/>
      </w:pPr>
      <w:r>
        <w:rPr>
          <w:rFonts w:ascii="游ゴシック" w:hAnsi="游ゴシック" w:eastAsia="游ゴシック"/>
          <w:b/>
          <w:sz w:val="20"/>
        </w:rPr>
        <w:t xml:space="preserve">先方　</w:t>
      </w:r>
      <w:r>
        <w:rPr>
          <w:rFonts w:ascii="游ゴシック" w:hAnsi="游ゴシック" w:eastAsia="游ゴシック"/>
          <w:sz w:val="20"/>
        </w:rPr>
        <w:t>（了解の趣旨の応答）</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ありがとうございます。本日の内容を書面にしてお送りいたします。恐れ入りますが、ご担当の部署名をお教えいただけますでしょうか。送付先として記録させていただきます。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お忙しいところありがとうございました。失礼いたします。</w:t>
      </w:r>
    </w:p>
    <w:p>
      <w:pPr>
        <w:spacing w:after="80"/>
      </w:pPr>
      <w:r>
        <w:rPr>
          <w:rFonts w:ascii="游ゴシック" w:hAnsi="游ゴシック" w:eastAsia="游ゴシック"/>
          <w:b w:val="0"/>
          <w:sz w:val="21"/>
        </w:rPr>
      </w:r>
    </w:p>
    <w:p>
      <w:pPr>
        <w:ind w:left="227"/>
      </w:pPr>
      <w:r>
        <w:rPr>
          <w:rFonts w:ascii="游ゴシック" w:hAnsi="游ゴシック" w:eastAsia="游ゴシック"/>
          <w:sz w:val="18"/>
        </w:rPr>
        <w:t>※ 「【大雪】R7.給付費データ集計」と町別ファイルは、いずれも令和8年8月28日にご提供いただいたものです。個人情報を含む1枚目のシートは、発注者のご指示により作業終了後ただちに消去しており、当方には残っておりません。集計シートの値のみを当方の資料に収めています。</w:t>
      </w:r>
    </w:p>
    <w:p>
      <w:pPr>
        <w:keepNext/>
        <w:spacing w:before="180" w:after="60"/>
      </w:pPr>
      <w:r>
        <w:rPr>
          <w:rFonts w:ascii="游ゴシック" w:hAnsi="游ゴシック" w:eastAsia="游ゴシック"/>
          <w:b/>
          <w:sz w:val="22"/>
        </w:rPr>
        <w:t>例2　相手が不在・折り返しになる場合</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承知いたしました。それでは改めてご連絡いたします。念のため用件だけお伝えしますと、いただきました資料の数値について、3町の合計と広域連合の数値が食い違っておりまして、抽出の条件を教えていただきたいという内容でございます。お戻りになりましたら、その旨お伝えいただけますと助かります。</w:t>
      </w:r>
    </w:p>
    <w:p>
      <w:pPr>
        <w:ind w:left="227"/>
      </w:pPr>
      <w:r>
        <w:rPr>
          <w:rFonts w:ascii="游ゴシック" w:hAnsi="游ゴシック" w:eastAsia="游ゴシック"/>
          <w:sz w:val="18"/>
        </w:rPr>
        <w:t>※ 折り返しを待つ場合でも、その日のうちに同じ内容を書面で送ります。口頭だけにしないことで、担当が替わっても内容が残ります。</w:t>
      </w:r>
    </w:p>
    <w:p>
      <w:pPr>
        <w:keepNext/>
        <w:spacing w:before="180" w:after="60"/>
      </w:pPr>
      <w:r>
        <w:rPr>
          <w:rFonts w:ascii="游ゴシック" w:hAnsi="游ゴシック" w:eastAsia="游ゴシック"/>
          <w:b/>
          <w:sz w:val="22"/>
        </w:rPr>
        <w:t>例3　3町へ施設整備の方針をうかがう場合（確認事項No.88・No.84）</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第10期の計画には、日常生活圏域ごとの必要利用定員総数を載せることが介護保険法で定められております。第9期の計画には記載がございませんので、今回から新しく設けます。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つきましては、令和9年度から11年度までの間に施設の整備や定員の変更をご予定されているかどうかをお聞かせいただけますでしょうか。ご予定がないということであれば、現在の定員を3年間据え置く案でお示しいたし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10月にご検討の予定とうかがっておりますので、ご検討の結果が出ましたらお知らせいただければ結構です。11月13日に予算編成用の見込量をお出しする予定ですので、そこに間に合えば反映できます。</w:t>
      </w:r>
    </w:p>
    <w:p>
      <w:pPr>
        <w:keepNext/>
        <w:spacing w:before="180" w:after="60"/>
      </w:pPr>
      <w:r>
        <w:rPr>
          <w:rFonts w:ascii="游ゴシック" w:hAnsi="游ゴシック" w:eastAsia="游ゴシック"/>
          <w:b/>
          <w:sz w:val="22"/>
        </w:rPr>
        <w:t>例4　資料の提供を改めてお願いする場合（総合事業の利用者実人数）</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地域支援事業につきまして、計画に「量の見込み」を載せることが法律で定められております。9月25日にいただきました3町の実施報告書で、令和7年度にどの事業をどれだけ実施されたかは分かりました。ありがとうございました。</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ただ、実施報告書の人数は延べの人数でございまして、計画に載せる量は一人の方を1回として数えた実人数になります。国の総合事業の実施状況調査の様式に、事業ごとの利用者実人数の欄がございますので、令和7年度分をその様式のままいただけますと置き換えられます。</w:t>
      </w:r>
    </w:p>
    <w:p>
      <w:pPr>
        <w:spacing w:after="100"/>
        <w:ind w:left="907" w:hanging="907"/>
      </w:pPr>
      <w:r>
        <w:rPr>
          <w:rFonts w:ascii="游ゴシック" w:hAnsi="游ゴシック" w:eastAsia="游ゴシック"/>
          <w:b/>
          <w:sz w:val="20"/>
        </w:rPr>
        <w:t xml:space="preserve">受託者　</w:t>
      </w:r>
      <w:r>
        <w:rPr>
          <w:rFonts w:ascii="游ゴシック" w:hAnsi="游ゴシック" w:eastAsia="游ゴシック"/>
          <w:sz w:val="20"/>
        </w:rPr>
        <w:t>10月中旬ごろまでにいただけますと第2次概算に反映できます。難しいようでしたら令和6年度の据え置きのままお出しし、その旨を注記いたします。</w:t>
      </w:r>
    </w:p>
    <w:p>
      <w:r>
        <w:br w:type="page"/>
      </w:r>
    </w:p>
    <w:p>
      <w:pPr>
        <w:keepNext/>
        <w:spacing w:before="280" w:after="120"/>
      </w:pPr>
      <w:r>
        <w:rPr>
          <w:rFonts w:ascii="游ゴシック" w:hAnsi="游ゴシック" w:eastAsia="游ゴシック"/>
          <w:b/>
          <w:color w:val="1F3864"/>
          <w:sz w:val="26"/>
        </w:rPr>
        <w:t>第5節　照会の記録様式</w:t>
      </w:r>
    </w:p>
    <w:p>
      <w:pPr>
        <w:spacing w:after="80"/>
      </w:pPr>
      <w:r>
        <w:rPr>
          <w:rFonts w:ascii="游ゴシック" w:hAnsi="游ゴシック" w:eastAsia="游ゴシック"/>
          <w:b w:val="0"/>
          <w:sz w:val="21"/>
        </w:rPr>
        <w:t>電話で照会したときは、次の項目を書き取って残します。確認事項一覧の備考へ転記し、口頭のやり取りを記録に残します。</w:t>
      </w:r>
    </w:p>
    <w:p>
      <w:pPr>
        <w:keepNext/>
        <w:spacing w:before="160" w:after="40"/>
      </w:pPr>
      <w:r>
        <w:rPr>
          <w:rFonts w:ascii="游ゴシック" w:hAnsi="游ゴシック" w:eastAsia="游ゴシック"/>
          <w:b/>
          <w:sz w:val="20"/>
        </w:rPr>
        <w:t>表6　電話照会の記録様式</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4876"/>
        <w:gridCol w:w="4876"/>
      </w:tblGrid>
      <w:tr>
        <w:trPr>
          <w:tblHeader/>
        </w:trPr>
        <w:tc>
          <w:tcPr>
            <w:tcW w:type="dxa" w:w="2268"/>
            <w:shd w:val="clear" w:color="auto" w:fill="1F3864"/>
            <w:vAlign w:val="center"/>
          </w:tcPr>
          <w:p>
            <w:pPr>
              <w:spacing w:after="0"/>
              <w:jc w:val="center"/>
            </w:pPr>
            <w:r>
              <w:rPr>
                <w:rFonts w:ascii="游ゴシック" w:hAnsi="游ゴシック" w:eastAsia="游ゴシック"/>
                <w:b/>
                <w:color w:val="FFFFFF"/>
                <w:sz w:val="18"/>
              </w:rPr>
              <w:t>項目</w:t>
            </w:r>
          </w:p>
        </w:tc>
        <w:tc>
          <w:tcPr>
            <w:tcW w:type="dxa" w:w="7370"/>
            <w:shd w:val="clear" w:color="auto" w:fill="1F3864"/>
            <w:vAlign w:val="center"/>
          </w:tcPr>
          <w:p>
            <w:pPr>
              <w:spacing w:after="0"/>
              <w:jc w:val="center"/>
            </w:pPr>
            <w:r>
              <w:rPr>
                <w:rFonts w:ascii="游ゴシック" w:hAnsi="游ゴシック" w:eastAsia="游ゴシック"/>
                <w:b/>
                <w:color w:val="FFFFFF"/>
                <w:sz w:val="18"/>
              </w:rPr>
              <w:t>記入欄</w:t>
            </w:r>
          </w:p>
        </w:tc>
      </w:tr>
      <w:tr>
        <w:trPr>
          <w:cantSplit/>
        </w:trPr>
        <w:tc>
          <w:tcPr>
            <w:tcW w:type="dxa" w:w="2268"/>
            <w:vAlign w:val="center"/>
          </w:tcPr>
          <w:p>
            <w:pPr>
              <w:spacing w:after="0"/>
            </w:pPr>
            <w:r>
              <w:rPr>
                <w:rFonts w:ascii="游ゴシック" w:hAnsi="游ゴシック" w:eastAsia="游ゴシック"/>
                <w:b/>
                <w:sz w:val="18"/>
              </w:rPr>
              <w:t>日時</w:t>
            </w:r>
          </w:p>
        </w:tc>
        <w:tc>
          <w:tcPr>
            <w:tcW w:type="dxa" w:w="7370"/>
            <w:vAlign w:val="center"/>
          </w:tcPr>
          <w:p>
            <w:pPr>
              <w:spacing w:after="0"/>
            </w:pPr>
            <w:r>
              <w:rPr>
                <w:rFonts w:ascii="游ゴシック" w:hAnsi="游ゴシック" w:eastAsia="游ゴシック"/>
                <w:b w:val="0"/>
                <w:sz w:val="18"/>
              </w:rPr>
              <w:t>令和　　年　　月　　日　　　時　　分（通話　　分）</w:t>
            </w:r>
          </w:p>
        </w:tc>
      </w:tr>
      <w:tr>
        <w:trPr>
          <w:cantSplit/>
        </w:trPr>
        <w:tc>
          <w:tcPr>
            <w:tcW w:type="dxa" w:w="2268"/>
            <w:shd w:val="clear" w:color="auto" w:fill="F2F5FA"/>
            <w:vAlign w:val="center"/>
          </w:tcPr>
          <w:p>
            <w:pPr>
              <w:spacing w:after="0"/>
            </w:pPr>
            <w:r>
              <w:rPr>
                <w:rFonts w:ascii="游ゴシック" w:hAnsi="游ゴシック" w:eastAsia="游ゴシック"/>
                <w:b/>
                <w:sz w:val="18"/>
              </w:rPr>
              <w:t>相手方</w:t>
            </w:r>
          </w:p>
        </w:tc>
        <w:tc>
          <w:tcPr>
            <w:tcW w:type="dxa" w:w="7370"/>
            <w:shd w:val="clear" w:color="auto" w:fill="F2F5FA"/>
            <w:vAlign w:val="center"/>
          </w:tcPr>
          <w:p>
            <w:pPr>
              <w:spacing w:after="0"/>
            </w:pPr>
            <w:r>
              <w:rPr>
                <w:rFonts w:ascii="游ゴシック" w:hAnsi="游ゴシック" w:eastAsia="游ゴシック"/>
                <w:b w:val="0"/>
                <w:sz w:val="18"/>
              </w:rPr>
              <w:t>〔団体名・部署名〕　　　　　　　　　　※個人名は記録しない</w:t>
            </w:r>
          </w:p>
        </w:tc>
      </w:tr>
      <w:tr>
        <w:trPr>
          <w:cantSplit/>
        </w:trPr>
        <w:tc>
          <w:tcPr>
            <w:tcW w:type="dxa" w:w="2268"/>
            <w:vAlign w:val="center"/>
          </w:tcPr>
          <w:p>
            <w:pPr>
              <w:spacing w:after="0"/>
            </w:pPr>
            <w:r>
              <w:rPr>
                <w:rFonts w:ascii="游ゴシック" w:hAnsi="游ゴシック" w:eastAsia="游ゴシック"/>
                <w:b/>
                <w:sz w:val="18"/>
              </w:rPr>
              <w:t>確認事項No.</w:t>
            </w:r>
          </w:p>
        </w:tc>
        <w:tc>
          <w:tcPr>
            <w:tcW w:type="dxa" w:w="7370"/>
            <w:vAlign w:val="center"/>
          </w:tcPr>
          <w:p>
            <w:pPr>
              <w:spacing w:after="0"/>
            </w:pPr>
            <w:r>
              <w:rPr>
                <w:rFonts w:ascii="游ゴシック" w:hAnsi="游ゴシック" w:eastAsia="游ゴシック"/>
                <w:b w:val="0"/>
                <w:sz w:val="18"/>
              </w:rPr>
              <w:t>No.　　　（件名　　　　　　　　　　　　　　　　）</w:t>
            </w:r>
          </w:p>
        </w:tc>
      </w:tr>
      <w:tr>
        <w:trPr>
          <w:cantSplit/>
        </w:trPr>
        <w:tc>
          <w:tcPr>
            <w:tcW w:type="dxa" w:w="2268"/>
            <w:shd w:val="clear" w:color="auto" w:fill="F2F5FA"/>
            <w:vAlign w:val="center"/>
          </w:tcPr>
          <w:p>
            <w:pPr>
              <w:spacing w:after="0"/>
            </w:pPr>
            <w:r>
              <w:rPr>
                <w:rFonts w:ascii="游ゴシック" w:hAnsi="游ゴシック" w:eastAsia="游ゴシック"/>
                <w:b/>
                <w:sz w:val="18"/>
              </w:rPr>
              <w:t>こちらから伝えたこと</w:t>
            </w:r>
          </w:p>
        </w:tc>
        <w:tc>
          <w:tcPr>
            <w:tcW w:type="dxa" w:w="7370"/>
            <w:shd w:val="clear" w:color="auto" w:fill="F2F5FA"/>
            <w:vAlign w:val="center"/>
          </w:tcPr>
          <w:p>
            <w:pPr>
              <w:spacing w:after="0"/>
            </w:pPr>
            <w:r>
              <w:rPr>
                <w:rFonts w:ascii="游ゴシック" w:hAnsi="游ゴシック" w:eastAsia="游ゴシック"/>
                <w:b w:val="0"/>
                <w:sz w:val="18"/>
              </w:rPr>
            </w:r>
          </w:p>
        </w:tc>
      </w:tr>
      <w:tr>
        <w:trPr>
          <w:cantSplit/>
        </w:trPr>
        <w:tc>
          <w:tcPr>
            <w:tcW w:type="dxa" w:w="2268"/>
            <w:vAlign w:val="center"/>
          </w:tcPr>
          <w:p>
            <w:pPr>
              <w:spacing w:after="0"/>
            </w:pPr>
            <w:r>
              <w:rPr>
                <w:rFonts w:ascii="游ゴシック" w:hAnsi="游ゴシック" w:eastAsia="游ゴシック"/>
                <w:b/>
                <w:sz w:val="18"/>
              </w:rPr>
              <w:t>先方のご回答</w:t>
            </w:r>
          </w:p>
        </w:tc>
        <w:tc>
          <w:tcPr>
            <w:tcW w:type="dxa" w:w="7370"/>
            <w:vAlign w:val="center"/>
          </w:tcPr>
          <w:p>
            <w:pPr>
              <w:spacing w:after="0"/>
            </w:pPr>
            <w:r>
              <w:rPr>
                <w:rFonts w:ascii="游ゴシック" w:hAnsi="游ゴシック" w:eastAsia="游ゴシック"/>
                <w:b w:val="0"/>
                <w:sz w:val="18"/>
              </w:rPr>
            </w:r>
          </w:p>
        </w:tc>
      </w:tr>
      <w:tr>
        <w:trPr>
          <w:cantSplit/>
        </w:trPr>
        <w:tc>
          <w:tcPr>
            <w:tcW w:type="dxa" w:w="2268"/>
            <w:shd w:val="clear" w:color="auto" w:fill="F2F5FA"/>
            <w:vAlign w:val="center"/>
          </w:tcPr>
          <w:p>
            <w:pPr>
              <w:spacing w:after="0"/>
            </w:pPr>
            <w:r>
              <w:rPr>
                <w:rFonts w:ascii="游ゴシック" w:hAnsi="游ゴシック" w:eastAsia="游ゴシック"/>
                <w:b/>
                <w:sz w:val="18"/>
              </w:rPr>
              <w:t>お願いしたこと</w:t>
            </w:r>
          </w:p>
        </w:tc>
        <w:tc>
          <w:tcPr>
            <w:tcW w:type="dxa" w:w="7370"/>
            <w:shd w:val="clear" w:color="auto" w:fill="F2F5FA"/>
            <w:vAlign w:val="center"/>
          </w:tcPr>
          <w:p>
            <w:pPr>
              <w:spacing w:after="0"/>
            </w:pPr>
            <w:r>
              <w:rPr>
                <w:rFonts w:ascii="游ゴシック" w:hAnsi="游ゴシック" w:eastAsia="游ゴシック"/>
                <w:b w:val="0"/>
                <w:sz w:val="18"/>
              </w:rPr>
              <w:t>内容　　　　　　　　　　　　　期限　　月　　日</w:t>
            </w:r>
          </w:p>
        </w:tc>
      </w:tr>
      <w:tr>
        <w:trPr>
          <w:cantSplit/>
        </w:trPr>
        <w:tc>
          <w:tcPr>
            <w:tcW w:type="dxa" w:w="2268"/>
            <w:vAlign w:val="center"/>
          </w:tcPr>
          <w:p>
            <w:pPr>
              <w:spacing w:after="0"/>
            </w:pPr>
            <w:r>
              <w:rPr>
                <w:rFonts w:ascii="游ゴシック" w:hAnsi="游ゴシック" w:eastAsia="游ゴシック"/>
                <w:b/>
                <w:sz w:val="18"/>
              </w:rPr>
              <w:t>いただけない場合の扱い</w:t>
            </w:r>
          </w:p>
        </w:tc>
        <w:tc>
          <w:tcPr>
            <w:tcW w:type="dxa" w:w="7370"/>
            <w:vAlign w:val="center"/>
          </w:tcPr>
          <w:p>
            <w:pPr>
              <w:spacing w:after="0"/>
            </w:pPr>
            <w:r>
              <w:rPr>
                <w:rFonts w:ascii="游ゴシック" w:hAnsi="游ゴシック" w:eastAsia="游ゴシック"/>
                <w:b w:val="0"/>
                <w:sz w:val="18"/>
              </w:rPr>
            </w:r>
          </w:p>
        </w:tc>
      </w:tr>
      <w:tr>
        <w:trPr>
          <w:cantSplit/>
        </w:trPr>
        <w:tc>
          <w:tcPr>
            <w:tcW w:type="dxa" w:w="2268"/>
            <w:shd w:val="clear" w:color="auto" w:fill="F2F5FA"/>
            <w:vAlign w:val="center"/>
          </w:tcPr>
          <w:p>
            <w:pPr>
              <w:spacing w:after="0"/>
            </w:pPr>
            <w:r>
              <w:rPr>
                <w:rFonts w:ascii="游ゴシック" w:hAnsi="游ゴシック" w:eastAsia="游ゴシック"/>
                <w:b/>
                <w:sz w:val="18"/>
              </w:rPr>
              <w:t>書面の送付</w:t>
            </w:r>
          </w:p>
        </w:tc>
        <w:tc>
          <w:tcPr>
            <w:tcW w:type="dxa" w:w="7370"/>
            <w:shd w:val="clear" w:color="auto" w:fill="F2F5FA"/>
            <w:vAlign w:val="center"/>
          </w:tcPr>
          <w:p>
            <w:pPr>
              <w:spacing w:after="0"/>
            </w:pPr>
            <w:r>
              <w:rPr>
                <w:rFonts w:ascii="游ゴシック" w:hAnsi="游ゴシック" w:eastAsia="游ゴシック"/>
                <w:b w:val="0"/>
                <w:sz w:val="18"/>
              </w:rPr>
              <w:t>送付日　　月　　日　　／　　宛先〔　　　　　　　〕</w:t>
            </w:r>
          </w:p>
        </w:tc>
      </w:tr>
      <w:tr>
        <w:trPr>
          <w:cantSplit/>
        </w:trPr>
        <w:tc>
          <w:tcPr>
            <w:tcW w:type="dxa" w:w="2268"/>
            <w:vAlign w:val="center"/>
          </w:tcPr>
          <w:p>
            <w:pPr>
              <w:spacing w:after="0"/>
            </w:pPr>
            <w:r>
              <w:rPr>
                <w:rFonts w:ascii="游ゴシック" w:hAnsi="游ゴシック" w:eastAsia="游ゴシック"/>
                <w:b/>
                <w:sz w:val="18"/>
              </w:rPr>
              <w:t>次の行動</w:t>
            </w:r>
          </w:p>
        </w:tc>
        <w:tc>
          <w:tcPr>
            <w:tcW w:type="dxa" w:w="7370"/>
            <w:vAlign w:val="center"/>
          </w:tcPr>
          <w:p>
            <w:pPr>
              <w:spacing w:after="0"/>
            </w:pPr>
            <w:r>
              <w:rPr>
                <w:rFonts w:ascii="游ゴシック" w:hAnsi="游ゴシック" w:eastAsia="游ゴシック"/>
                <w:b w:val="0"/>
                <w:sz w:val="18"/>
              </w:rPr>
            </w:r>
          </w:p>
        </w:tc>
      </w:tr>
    </w:tbl>
    <w:p>
      <w:pPr>
        <w:ind w:left="227"/>
      </w:pPr>
      <w:r>
        <w:rPr>
          <w:rFonts w:ascii="游ゴシック" w:hAnsi="游ゴシック" w:eastAsia="游ゴシック"/>
          <w:sz w:val="18"/>
        </w:rPr>
        <w:t>※ 発注者のご指示により、担当者の個人名・電話番号・メールアドレスは記録しません。部署名までとします。</w:t>
      </w:r>
    </w:p>
    <w:p>
      <w:r>
        <w:br w:type="page"/>
      </w:r>
    </w:p>
    <w:p>
      <w:pPr>
        <w:keepNext/>
        <w:spacing w:before="280" w:after="120"/>
      </w:pPr>
      <w:r>
        <w:rPr>
          <w:rFonts w:ascii="游ゴシック" w:hAnsi="游ゴシック" w:eastAsia="游ゴシック"/>
          <w:b/>
          <w:color w:val="1F3864"/>
          <w:sz w:val="26"/>
        </w:rPr>
        <w:t>第6節　確認事項No.87の経緯と決着</w:t>
      </w:r>
    </w:p>
    <w:p>
      <w:pPr>
        <w:spacing w:after="80"/>
      </w:pPr>
      <w:r>
        <w:rPr>
          <w:rFonts w:ascii="游ゴシック" w:hAnsi="游ゴシック" w:eastAsia="游ゴシック"/>
          <w:b w:val="0"/>
          <w:sz w:val="21"/>
        </w:rPr>
        <w:t>令和7年度の給付費が3町のファイルの合計と広域連合のファイルで食い違っていた件の経緯です。同じ食い違いが他の資料で起きたときの当たり方としても残します。</w:t>
      </w:r>
    </w:p>
    <w:p>
      <w:pPr>
        <w:keepNext/>
        <w:spacing w:before="180" w:after="60"/>
      </w:pPr>
      <w:r>
        <w:rPr>
          <w:rFonts w:ascii="游ゴシック" w:hAnsi="游ゴシック" w:eastAsia="游ゴシック"/>
          <w:b/>
          <w:sz w:val="22"/>
        </w:rPr>
        <w:t>１　年度別の突合（再提供後）</w:t>
      </w:r>
    </w:p>
    <w:p>
      <w:pPr>
        <w:keepNext/>
        <w:spacing w:before="160" w:after="40"/>
      </w:pPr>
      <w:r>
        <w:rPr>
          <w:rFonts w:ascii="游ゴシック" w:hAnsi="游ゴシック" w:eastAsia="游ゴシック"/>
          <w:b/>
          <w:sz w:val="20"/>
        </w:rPr>
        <w:t>表7　給付費の総計（3町のファイルの合計と広域連合のファイル）</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474"/>
            <w:shd w:val="clear" w:color="auto" w:fill="1F3864"/>
            <w:vAlign w:val="center"/>
          </w:tcPr>
          <w:p>
            <w:pPr>
              <w:spacing w:after="0"/>
              <w:jc w:val="center"/>
            </w:pPr>
            <w:r>
              <w:rPr>
                <w:rFonts w:ascii="游ゴシック" w:hAnsi="游ゴシック" w:eastAsia="游ゴシック"/>
                <w:b/>
                <w:color w:val="FFFFFF"/>
                <w:sz w:val="18"/>
              </w:rPr>
              <w:t>年度</w:t>
            </w:r>
          </w:p>
        </w:tc>
        <w:tc>
          <w:tcPr>
            <w:tcW w:type="dxa" w:w="2494"/>
            <w:shd w:val="clear" w:color="auto" w:fill="1F3864"/>
            <w:vAlign w:val="center"/>
          </w:tcPr>
          <w:p>
            <w:pPr>
              <w:spacing w:after="0"/>
              <w:jc w:val="center"/>
            </w:pPr>
            <w:r>
              <w:rPr>
                <w:rFonts w:ascii="游ゴシック" w:hAnsi="游ゴシック" w:eastAsia="游ゴシック"/>
                <w:b/>
                <w:color w:val="FFFFFF"/>
                <w:sz w:val="18"/>
              </w:rPr>
              <w:t>3町のファイルの合計</w:t>
            </w:r>
          </w:p>
        </w:tc>
        <w:tc>
          <w:tcPr>
            <w:tcW w:type="dxa" w:w="2494"/>
            <w:shd w:val="clear" w:color="auto" w:fill="1F3864"/>
            <w:vAlign w:val="center"/>
          </w:tcPr>
          <w:p>
            <w:pPr>
              <w:spacing w:after="0"/>
              <w:jc w:val="center"/>
            </w:pPr>
            <w:r>
              <w:rPr>
                <w:rFonts w:ascii="游ゴシック" w:hAnsi="游ゴシック" w:eastAsia="游ゴシック"/>
                <w:b/>
                <w:color w:val="FFFFFF"/>
                <w:sz w:val="18"/>
              </w:rPr>
              <w:t>【大雪】のファイル</w:t>
            </w:r>
          </w:p>
        </w:tc>
        <w:tc>
          <w:tcPr>
            <w:tcW w:type="dxa" w:w="2041"/>
            <w:shd w:val="clear" w:color="auto" w:fill="1F3864"/>
            <w:vAlign w:val="center"/>
          </w:tcPr>
          <w:p>
            <w:pPr>
              <w:spacing w:after="0"/>
              <w:jc w:val="center"/>
            </w:pPr>
            <w:r>
              <w:rPr>
                <w:rFonts w:ascii="游ゴシック" w:hAnsi="游ゴシック" w:eastAsia="游ゴシック"/>
                <w:b/>
                <w:color w:val="FFFFFF"/>
                <w:sz w:val="18"/>
              </w:rPr>
              <w:t>差</w:t>
            </w:r>
          </w:p>
        </w:tc>
        <w:tc>
          <w:tcPr>
            <w:tcW w:type="dxa" w:w="1247"/>
            <w:shd w:val="clear" w:color="auto" w:fill="1F3864"/>
            <w:vAlign w:val="center"/>
          </w:tcPr>
          <w:p>
            <w:pPr>
              <w:spacing w:after="0"/>
              <w:jc w:val="center"/>
            </w:pPr>
            <w:r>
              <w:rPr>
                <w:rFonts w:ascii="游ゴシック" w:hAnsi="游ゴシック" w:eastAsia="游ゴシック"/>
                <w:b/>
                <w:color w:val="FFFFFF"/>
                <w:sz w:val="18"/>
              </w:rPr>
              <w:t>率</w:t>
            </w:r>
          </w:p>
        </w:tc>
      </w:tr>
      <w:tr>
        <w:trPr>
          <w:cantSplit/>
        </w:trPr>
        <w:tc>
          <w:tcPr>
            <w:tcW w:type="dxa" w:w="1474"/>
            <w:vAlign w:val="center"/>
          </w:tcPr>
          <w:p>
            <w:pPr>
              <w:spacing w:after="0"/>
            </w:pPr>
            <w:r>
              <w:rPr>
                <w:rFonts w:ascii="游ゴシック" w:hAnsi="游ゴシック" w:eastAsia="游ゴシック"/>
                <w:b/>
                <w:sz w:val="18"/>
              </w:rPr>
              <w:t>令和6年度</w:t>
            </w:r>
          </w:p>
        </w:tc>
        <w:tc>
          <w:tcPr>
            <w:tcW w:type="dxa" w:w="2494"/>
            <w:vAlign w:val="center"/>
          </w:tcPr>
          <w:p>
            <w:pPr>
              <w:spacing w:after="0"/>
            </w:pPr>
            <w:r>
              <w:rPr>
                <w:rFonts w:ascii="游ゴシック" w:hAnsi="游ゴシック" w:eastAsia="游ゴシック"/>
                <w:b w:val="0"/>
                <w:sz w:val="18"/>
              </w:rPr>
              <w:t>3,084,937,834</w:t>
            </w:r>
          </w:p>
        </w:tc>
        <w:tc>
          <w:tcPr>
            <w:tcW w:type="dxa" w:w="2494"/>
            <w:vAlign w:val="center"/>
          </w:tcPr>
          <w:p>
            <w:pPr>
              <w:spacing w:after="0"/>
            </w:pPr>
            <w:r>
              <w:rPr>
                <w:rFonts w:ascii="游ゴシック" w:hAnsi="游ゴシック" w:eastAsia="游ゴシック"/>
                <w:b w:val="0"/>
                <w:sz w:val="18"/>
              </w:rPr>
              <w:t>3,084,937,834</w:t>
            </w:r>
          </w:p>
        </w:tc>
        <w:tc>
          <w:tcPr>
            <w:tcW w:type="dxa" w:w="2041"/>
            <w:vAlign w:val="center"/>
          </w:tcPr>
          <w:p>
            <w:pPr>
              <w:spacing w:after="0"/>
            </w:pPr>
            <w:r>
              <w:rPr>
                <w:rFonts w:ascii="游ゴシック" w:hAnsi="游ゴシック" w:eastAsia="游ゴシック"/>
                <w:b w:val="0"/>
                <w:sz w:val="18"/>
              </w:rPr>
              <w:t>0円</w:t>
            </w:r>
          </w:p>
        </w:tc>
        <w:tc>
          <w:tcPr>
            <w:tcW w:type="dxa" w:w="1247"/>
            <w:vAlign w:val="center"/>
          </w:tcPr>
          <w:p>
            <w:pPr>
              <w:spacing w:after="0"/>
              <w:jc w:val="center"/>
            </w:pPr>
            <w:r>
              <w:rPr>
                <w:rFonts w:ascii="游ゴシック" w:hAnsi="游ゴシック" w:eastAsia="游ゴシック"/>
                <w:b w:val="0"/>
                <w:sz w:val="18"/>
              </w:rPr>
              <w:t>一致</w:t>
            </w:r>
          </w:p>
        </w:tc>
      </w:tr>
      <w:tr>
        <w:trPr>
          <w:cantSplit/>
        </w:trPr>
        <w:tc>
          <w:tcPr>
            <w:tcW w:type="dxa" w:w="1474"/>
            <w:shd w:val="clear" w:color="auto" w:fill="F2F5FA"/>
            <w:vAlign w:val="center"/>
          </w:tcPr>
          <w:p>
            <w:pPr>
              <w:spacing w:after="0"/>
            </w:pPr>
            <w:r>
              <w:rPr>
                <w:rFonts w:ascii="游ゴシック" w:hAnsi="游ゴシック" w:eastAsia="游ゴシック"/>
                <w:b/>
                <w:sz w:val="18"/>
              </w:rPr>
              <w:t>令和7年度</w:t>
            </w:r>
          </w:p>
        </w:tc>
        <w:tc>
          <w:tcPr>
            <w:tcW w:type="dxa" w:w="2494"/>
            <w:shd w:val="clear" w:color="auto" w:fill="F2F5FA"/>
            <w:vAlign w:val="center"/>
          </w:tcPr>
          <w:p>
            <w:pPr>
              <w:spacing w:after="0"/>
            </w:pPr>
            <w:r>
              <w:rPr>
                <w:rFonts w:ascii="游ゴシック" w:hAnsi="游ゴシック" w:eastAsia="游ゴシック"/>
                <w:b w:val="0"/>
                <w:sz w:val="18"/>
              </w:rPr>
              <w:t>3,213,054,558</w:t>
            </w:r>
          </w:p>
        </w:tc>
        <w:tc>
          <w:tcPr>
            <w:tcW w:type="dxa" w:w="2494"/>
            <w:shd w:val="clear" w:color="auto" w:fill="F2F5FA"/>
            <w:vAlign w:val="center"/>
          </w:tcPr>
          <w:p>
            <w:pPr>
              <w:spacing w:after="0"/>
            </w:pPr>
            <w:r>
              <w:rPr>
                <w:rFonts w:ascii="游ゴシック" w:hAnsi="游ゴシック" w:eastAsia="游ゴシック"/>
                <w:b w:val="0"/>
                <w:sz w:val="18"/>
              </w:rPr>
              <w:t>3,213,054,558</w:t>
            </w:r>
          </w:p>
        </w:tc>
        <w:tc>
          <w:tcPr>
            <w:tcW w:type="dxa" w:w="2041"/>
            <w:shd w:val="clear" w:color="auto" w:fill="F2F5FA"/>
            <w:vAlign w:val="center"/>
          </w:tcPr>
          <w:p>
            <w:pPr>
              <w:spacing w:after="0"/>
            </w:pPr>
            <w:r>
              <w:rPr>
                <w:rFonts w:ascii="游ゴシック" w:hAnsi="游ゴシック" w:eastAsia="游ゴシック"/>
                <w:b w:val="0"/>
                <w:sz w:val="18"/>
              </w:rPr>
              <w:t>0円</w:t>
            </w:r>
          </w:p>
        </w:tc>
        <w:tc>
          <w:tcPr>
            <w:tcW w:type="dxa" w:w="1247"/>
            <w:shd w:val="clear" w:color="auto" w:fill="F2F5FA"/>
            <w:vAlign w:val="center"/>
          </w:tcPr>
          <w:p>
            <w:pPr>
              <w:spacing w:after="0"/>
              <w:jc w:val="center"/>
            </w:pPr>
            <w:r>
              <w:rPr>
                <w:rFonts w:ascii="游ゴシック" w:hAnsi="游ゴシック" w:eastAsia="游ゴシック"/>
                <w:b w:val="0"/>
                <w:sz w:val="18"/>
              </w:rPr>
              <w:t>一致</w:t>
            </w:r>
          </w:p>
        </w:tc>
      </w:tr>
      <w:tr>
        <w:trPr>
          <w:cantSplit/>
        </w:trPr>
        <w:tc>
          <w:tcPr>
            <w:tcW w:type="dxa" w:w="1474"/>
            <w:vAlign w:val="center"/>
          </w:tcPr>
          <w:p>
            <w:pPr>
              <w:spacing w:after="0"/>
            </w:pPr>
            <w:r>
              <w:rPr>
                <w:rFonts w:ascii="游ゴシック" w:hAnsi="游ゴシック" w:eastAsia="游ゴシック"/>
                <w:b/>
                <w:sz w:val="18"/>
              </w:rPr>
              <w:t>令和8年度</w:t>
              <w:br/>
              <w:t>（年度途中）</w:t>
            </w:r>
          </w:p>
        </w:tc>
        <w:tc>
          <w:tcPr>
            <w:tcW w:type="dxa" w:w="2494"/>
            <w:vAlign w:val="center"/>
          </w:tcPr>
          <w:p>
            <w:pPr>
              <w:spacing w:after="0"/>
            </w:pPr>
            <w:r>
              <w:rPr>
                <w:rFonts w:ascii="游ゴシック" w:hAnsi="游ゴシック" w:eastAsia="游ゴシック"/>
                <w:b w:val="0"/>
                <w:sz w:val="18"/>
              </w:rPr>
              <w:t>1,110,075,123</w:t>
            </w:r>
          </w:p>
        </w:tc>
        <w:tc>
          <w:tcPr>
            <w:tcW w:type="dxa" w:w="2494"/>
            <w:vAlign w:val="center"/>
          </w:tcPr>
          <w:p>
            <w:pPr>
              <w:spacing w:after="0"/>
            </w:pPr>
            <w:r>
              <w:rPr>
                <w:rFonts w:ascii="游ゴシック" w:hAnsi="游ゴシック" w:eastAsia="游ゴシック"/>
                <w:b w:val="0"/>
                <w:sz w:val="18"/>
              </w:rPr>
              <w:t>1,110,075,123</w:t>
            </w:r>
          </w:p>
        </w:tc>
        <w:tc>
          <w:tcPr>
            <w:tcW w:type="dxa" w:w="2041"/>
            <w:vAlign w:val="center"/>
          </w:tcPr>
          <w:p>
            <w:pPr>
              <w:spacing w:after="0"/>
            </w:pPr>
            <w:r>
              <w:rPr>
                <w:rFonts w:ascii="游ゴシック" w:hAnsi="游ゴシック" w:eastAsia="游ゴシック"/>
                <w:b w:val="0"/>
                <w:sz w:val="18"/>
              </w:rPr>
              <w:t>0円</w:t>
            </w:r>
          </w:p>
        </w:tc>
        <w:tc>
          <w:tcPr>
            <w:tcW w:type="dxa" w:w="1247"/>
            <w:vAlign w:val="center"/>
          </w:tcPr>
          <w:p>
            <w:pPr>
              <w:spacing w:after="0"/>
              <w:jc w:val="center"/>
            </w:pPr>
            <w:r>
              <w:rPr>
                <w:rFonts w:ascii="游ゴシック" w:hAnsi="游ゴシック" w:eastAsia="游ゴシック"/>
                <w:b w:val="0"/>
                <w:sz w:val="18"/>
              </w:rPr>
              <w:t>一致</w:t>
            </w:r>
          </w:p>
        </w:tc>
      </w:tr>
    </w:tbl>
    <w:p>
      <w:pPr>
        <w:ind w:left="227"/>
      </w:pPr>
      <w:r>
        <w:rPr>
          <w:rFonts w:ascii="游ゴシック" w:hAnsi="游ゴシック" w:eastAsia="游ゴシック"/>
          <w:sz w:val="18"/>
        </w:rPr>
        <w:t>※ 単位は円。令和7年度は令和8年9月25日に再提供を受けたファイルの「介護度別給付費」シートの総計です。令和6年度・令和8年度は令和8年8月28日受領分によります。</w:t>
      </w:r>
    </w:p>
    <w:p>
      <w:pPr>
        <w:keepNext/>
        <w:spacing w:before="180" w:after="60"/>
      </w:pPr>
      <w:r>
        <w:rPr>
          <w:rFonts w:ascii="游ゴシック" w:hAnsi="游ゴシック" w:eastAsia="游ゴシック"/>
          <w:b/>
          <w:sz w:val="22"/>
        </w:rPr>
        <w:t>２　従前の表との差（令和7年度）</w:t>
      </w:r>
    </w:p>
    <w:p>
      <w:pPr>
        <w:keepNext/>
        <w:spacing w:before="160" w:after="40"/>
      </w:pPr>
      <w:r>
        <w:rPr>
          <w:rFonts w:ascii="游ゴシック" w:hAnsi="游ゴシック" w:eastAsia="游ゴシック"/>
          <w:b/>
          <w:sz w:val="20"/>
        </w:rPr>
        <w:t>表8　従前の表の値と3町合計の差（要介護度別）</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1950"/>
        <w:gridCol w:w="1950"/>
        <w:gridCol w:w="1950"/>
        <w:gridCol w:w="1950"/>
        <w:gridCol w:w="1950"/>
      </w:tblGrid>
      <w:tr>
        <w:trPr>
          <w:tblHeader/>
        </w:trPr>
        <w:tc>
          <w:tcPr>
            <w:tcW w:type="dxa" w:w="1474"/>
            <w:shd w:val="clear" w:color="auto" w:fill="1F3864"/>
            <w:vAlign w:val="center"/>
          </w:tcPr>
          <w:p>
            <w:pPr>
              <w:spacing w:after="0"/>
              <w:jc w:val="center"/>
            </w:pPr>
            <w:r>
              <w:rPr>
                <w:rFonts w:ascii="游ゴシック" w:hAnsi="游ゴシック" w:eastAsia="游ゴシック"/>
                <w:b/>
                <w:color w:val="FFFFFF"/>
                <w:sz w:val="18"/>
              </w:rPr>
              <w:t>要介護度</w:t>
            </w:r>
          </w:p>
        </w:tc>
        <w:tc>
          <w:tcPr>
            <w:tcW w:type="dxa" w:w="2494"/>
            <w:shd w:val="clear" w:color="auto" w:fill="1F3864"/>
            <w:vAlign w:val="center"/>
          </w:tcPr>
          <w:p>
            <w:pPr>
              <w:spacing w:after="0"/>
              <w:jc w:val="center"/>
            </w:pPr>
            <w:r>
              <w:rPr>
                <w:rFonts w:ascii="游ゴシック" w:hAnsi="游ゴシック" w:eastAsia="游ゴシック"/>
                <w:b/>
                <w:color w:val="FFFFFF"/>
                <w:sz w:val="18"/>
              </w:rPr>
              <w:t>3町の合計</w:t>
            </w:r>
          </w:p>
        </w:tc>
        <w:tc>
          <w:tcPr>
            <w:tcW w:type="dxa" w:w="2494"/>
            <w:shd w:val="clear" w:color="auto" w:fill="1F3864"/>
            <w:vAlign w:val="center"/>
          </w:tcPr>
          <w:p>
            <w:pPr>
              <w:spacing w:after="0"/>
              <w:jc w:val="center"/>
            </w:pPr>
            <w:r>
              <w:rPr>
                <w:rFonts w:ascii="游ゴシック" w:hAnsi="游ゴシック" w:eastAsia="游ゴシック"/>
                <w:b/>
                <w:color w:val="FFFFFF"/>
                <w:sz w:val="18"/>
              </w:rPr>
              <w:t>従前の表の値</w:t>
            </w:r>
          </w:p>
        </w:tc>
        <w:tc>
          <w:tcPr>
            <w:tcW w:type="dxa" w:w="2041"/>
            <w:shd w:val="clear" w:color="auto" w:fill="1F3864"/>
            <w:vAlign w:val="center"/>
          </w:tcPr>
          <w:p>
            <w:pPr>
              <w:spacing w:after="0"/>
              <w:jc w:val="center"/>
            </w:pPr>
            <w:r>
              <w:rPr>
                <w:rFonts w:ascii="游ゴシック" w:hAnsi="游ゴシック" w:eastAsia="游ゴシック"/>
                <w:b/>
                <w:color w:val="FFFFFF"/>
                <w:sz w:val="18"/>
              </w:rPr>
              <w:t>差</w:t>
            </w:r>
          </w:p>
        </w:tc>
        <w:tc>
          <w:tcPr>
            <w:tcW w:type="dxa" w:w="1247"/>
            <w:shd w:val="clear" w:color="auto" w:fill="1F3864"/>
            <w:vAlign w:val="center"/>
          </w:tcPr>
          <w:p>
            <w:pPr>
              <w:spacing w:after="0"/>
              <w:jc w:val="center"/>
            </w:pPr>
            <w:r>
              <w:rPr>
                <w:rFonts w:ascii="游ゴシック" w:hAnsi="游ゴシック" w:eastAsia="游ゴシック"/>
                <w:b/>
                <w:color w:val="FFFFFF"/>
                <w:sz w:val="18"/>
              </w:rPr>
              <w:t>率</w:t>
            </w:r>
          </w:p>
        </w:tc>
      </w:tr>
      <w:tr>
        <w:trPr>
          <w:cantSplit/>
        </w:trPr>
        <w:tc>
          <w:tcPr>
            <w:tcW w:type="dxa" w:w="1474"/>
            <w:vAlign w:val="center"/>
          </w:tcPr>
          <w:p>
            <w:pPr>
              <w:spacing w:after="0"/>
            </w:pPr>
            <w:r>
              <w:rPr>
                <w:rFonts w:ascii="游ゴシック" w:hAnsi="游ゴシック" w:eastAsia="游ゴシック"/>
                <w:b/>
                <w:sz w:val="18"/>
              </w:rPr>
              <w:t>要支援1</w:t>
            </w:r>
          </w:p>
        </w:tc>
        <w:tc>
          <w:tcPr>
            <w:tcW w:type="dxa" w:w="2494"/>
            <w:vAlign w:val="center"/>
          </w:tcPr>
          <w:p>
            <w:pPr>
              <w:spacing w:after="0"/>
            </w:pPr>
            <w:r>
              <w:rPr>
                <w:rFonts w:ascii="游ゴシック" w:hAnsi="游ゴシック" w:eastAsia="游ゴシック"/>
                <w:b w:val="0"/>
                <w:sz w:val="18"/>
              </w:rPr>
              <w:t>34,778,708</w:t>
            </w:r>
          </w:p>
        </w:tc>
        <w:tc>
          <w:tcPr>
            <w:tcW w:type="dxa" w:w="2494"/>
            <w:vAlign w:val="center"/>
          </w:tcPr>
          <w:p>
            <w:pPr>
              <w:spacing w:after="0"/>
            </w:pPr>
            <w:r>
              <w:rPr>
                <w:rFonts w:ascii="游ゴシック" w:hAnsi="游ゴシック" w:eastAsia="游ゴシック"/>
                <w:b w:val="0"/>
                <w:sz w:val="18"/>
              </w:rPr>
              <w:t>33,339,688</w:t>
            </w:r>
          </w:p>
        </w:tc>
        <w:tc>
          <w:tcPr>
            <w:tcW w:type="dxa" w:w="2041"/>
            <w:vAlign w:val="center"/>
          </w:tcPr>
          <w:p>
            <w:pPr>
              <w:spacing w:after="0"/>
            </w:pPr>
            <w:r>
              <w:rPr>
                <w:rFonts w:ascii="游ゴシック" w:hAnsi="游ゴシック" w:eastAsia="游ゴシック"/>
                <w:b w:val="0"/>
                <w:sz w:val="18"/>
              </w:rPr>
              <w:t>＋1,439,020</w:t>
            </w:r>
          </w:p>
        </w:tc>
        <w:tc>
          <w:tcPr>
            <w:tcW w:type="dxa" w:w="1247"/>
            <w:vAlign w:val="center"/>
          </w:tcPr>
          <w:p>
            <w:pPr>
              <w:spacing w:after="0"/>
              <w:jc w:val="center"/>
            </w:pPr>
            <w:r>
              <w:rPr>
                <w:rFonts w:ascii="游ゴシック" w:hAnsi="游ゴシック" w:eastAsia="游ゴシック"/>
                <w:b w:val="0"/>
                <w:sz w:val="18"/>
              </w:rPr>
              <w:t>＋4.32％</w:t>
            </w:r>
          </w:p>
        </w:tc>
      </w:tr>
      <w:tr>
        <w:trPr>
          <w:cantSplit/>
        </w:trPr>
        <w:tc>
          <w:tcPr>
            <w:tcW w:type="dxa" w:w="1474"/>
            <w:shd w:val="clear" w:color="auto" w:fill="F2F5FA"/>
            <w:vAlign w:val="center"/>
          </w:tcPr>
          <w:p>
            <w:pPr>
              <w:spacing w:after="0"/>
            </w:pPr>
            <w:r>
              <w:rPr>
                <w:rFonts w:ascii="游ゴシック" w:hAnsi="游ゴシック" w:eastAsia="游ゴシック"/>
                <w:b/>
                <w:sz w:val="18"/>
              </w:rPr>
              <w:t>要支援2</w:t>
            </w:r>
          </w:p>
        </w:tc>
        <w:tc>
          <w:tcPr>
            <w:tcW w:type="dxa" w:w="2494"/>
            <w:shd w:val="clear" w:color="auto" w:fill="F2F5FA"/>
            <w:vAlign w:val="center"/>
          </w:tcPr>
          <w:p>
            <w:pPr>
              <w:spacing w:after="0"/>
            </w:pPr>
            <w:r>
              <w:rPr>
                <w:rFonts w:ascii="游ゴシック" w:hAnsi="游ゴシック" w:eastAsia="游ゴシック"/>
                <w:b w:val="0"/>
                <w:sz w:val="18"/>
              </w:rPr>
              <w:t>80,479,432</w:t>
            </w:r>
          </w:p>
        </w:tc>
        <w:tc>
          <w:tcPr>
            <w:tcW w:type="dxa" w:w="2494"/>
            <w:shd w:val="clear" w:color="auto" w:fill="F2F5FA"/>
            <w:vAlign w:val="center"/>
          </w:tcPr>
          <w:p>
            <w:pPr>
              <w:spacing w:after="0"/>
            </w:pPr>
            <w:r>
              <w:rPr>
                <w:rFonts w:ascii="游ゴシック" w:hAnsi="游ゴシック" w:eastAsia="游ゴシック"/>
                <w:b w:val="0"/>
                <w:sz w:val="18"/>
              </w:rPr>
              <w:t>75,762,460</w:t>
            </w:r>
          </w:p>
        </w:tc>
        <w:tc>
          <w:tcPr>
            <w:tcW w:type="dxa" w:w="2041"/>
            <w:shd w:val="clear" w:color="auto" w:fill="F2F5FA"/>
            <w:vAlign w:val="center"/>
          </w:tcPr>
          <w:p>
            <w:pPr>
              <w:spacing w:after="0"/>
            </w:pPr>
            <w:r>
              <w:rPr>
                <w:rFonts w:ascii="游ゴシック" w:hAnsi="游ゴシック" w:eastAsia="游ゴシック"/>
                <w:b w:val="0"/>
                <w:sz w:val="18"/>
              </w:rPr>
              <w:t>＋4,716,972</w:t>
            </w:r>
          </w:p>
        </w:tc>
        <w:tc>
          <w:tcPr>
            <w:tcW w:type="dxa" w:w="1247"/>
            <w:shd w:val="clear" w:color="auto" w:fill="F2F5FA"/>
            <w:vAlign w:val="center"/>
          </w:tcPr>
          <w:p>
            <w:pPr>
              <w:spacing w:after="0"/>
              <w:jc w:val="center"/>
            </w:pPr>
            <w:r>
              <w:rPr>
                <w:rFonts w:ascii="游ゴシック" w:hAnsi="游ゴシック" w:eastAsia="游ゴシック"/>
                <w:b w:val="0"/>
                <w:sz w:val="18"/>
              </w:rPr>
              <w:t>＋6.23％</w:t>
            </w:r>
          </w:p>
        </w:tc>
      </w:tr>
      <w:tr>
        <w:trPr>
          <w:cantSplit/>
        </w:trPr>
        <w:tc>
          <w:tcPr>
            <w:tcW w:type="dxa" w:w="1474"/>
            <w:vAlign w:val="center"/>
          </w:tcPr>
          <w:p>
            <w:pPr>
              <w:spacing w:after="0"/>
            </w:pPr>
            <w:r>
              <w:rPr>
                <w:rFonts w:ascii="游ゴシック" w:hAnsi="游ゴシック" w:eastAsia="游ゴシック"/>
                <w:b/>
                <w:sz w:val="18"/>
              </w:rPr>
              <w:t>要介護1</w:t>
            </w:r>
          </w:p>
        </w:tc>
        <w:tc>
          <w:tcPr>
            <w:tcW w:type="dxa" w:w="2494"/>
            <w:vAlign w:val="center"/>
          </w:tcPr>
          <w:p>
            <w:pPr>
              <w:spacing w:after="0"/>
            </w:pPr>
            <w:r>
              <w:rPr>
                <w:rFonts w:ascii="游ゴシック" w:hAnsi="游ゴシック" w:eastAsia="游ゴシック"/>
                <w:b w:val="0"/>
                <w:sz w:val="18"/>
              </w:rPr>
              <w:t>599,250,223</w:t>
            </w:r>
          </w:p>
        </w:tc>
        <w:tc>
          <w:tcPr>
            <w:tcW w:type="dxa" w:w="2494"/>
            <w:vAlign w:val="center"/>
          </w:tcPr>
          <w:p>
            <w:pPr>
              <w:spacing w:after="0"/>
            </w:pPr>
            <w:r>
              <w:rPr>
                <w:rFonts w:ascii="游ゴシック" w:hAnsi="游ゴシック" w:eastAsia="游ゴシック"/>
                <w:b w:val="0"/>
                <w:sz w:val="18"/>
              </w:rPr>
              <w:t>567,559,605</w:t>
            </w:r>
          </w:p>
        </w:tc>
        <w:tc>
          <w:tcPr>
            <w:tcW w:type="dxa" w:w="2041"/>
            <w:vAlign w:val="center"/>
          </w:tcPr>
          <w:p>
            <w:pPr>
              <w:spacing w:after="0"/>
            </w:pPr>
            <w:r>
              <w:rPr>
                <w:rFonts w:ascii="游ゴシック" w:hAnsi="游ゴシック" w:eastAsia="游ゴシック"/>
                <w:b w:val="0"/>
                <w:sz w:val="18"/>
              </w:rPr>
              <w:t>＋31,690,618</w:t>
            </w:r>
          </w:p>
        </w:tc>
        <w:tc>
          <w:tcPr>
            <w:tcW w:type="dxa" w:w="1247"/>
            <w:vAlign w:val="center"/>
          </w:tcPr>
          <w:p>
            <w:pPr>
              <w:spacing w:after="0"/>
              <w:jc w:val="center"/>
            </w:pPr>
            <w:r>
              <w:rPr>
                <w:rFonts w:ascii="游ゴシック" w:hAnsi="游ゴシック" w:eastAsia="游ゴシック"/>
                <w:b w:val="0"/>
                <w:sz w:val="18"/>
              </w:rPr>
              <w:t>＋5.58％</w:t>
            </w:r>
          </w:p>
        </w:tc>
      </w:tr>
      <w:tr>
        <w:trPr>
          <w:cantSplit/>
        </w:trPr>
        <w:tc>
          <w:tcPr>
            <w:tcW w:type="dxa" w:w="1474"/>
            <w:shd w:val="clear" w:color="auto" w:fill="F2F5FA"/>
            <w:vAlign w:val="center"/>
          </w:tcPr>
          <w:p>
            <w:pPr>
              <w:spacing w:after="0"/>
            </w:pPr>
            <w:r>
              <w:rPr>
                <w:rFonts w:ascii="游ゴシック" w:hAnsi="游ゴシック" w:eastAsia="游ゴシック"/>
                <w:b/>
                <w:sz w:val="18"/>
              </w:rPr>
              <w:t>要介護2</w:t>
            </w:r>
          </w:p>
        </w:tc>
        <w:tc>
          <w:tcPr>
            <w:tcW w:type="dxa" w:w="2494"/>
            <w:shd w:val="clear" w:color="auto" w:fill="F2F5FA"/>
            <w:vAlign w:val="center"/>
          </w:tcPr>
          <w:p>
            <w:pPr>
              <w:spacing w:after="0"/>
            </w:pPr>
            <w:r>
              <w:rPr>
                <w:rFonts w:ascii="游ゴシック" w:hAnsi="游ゴシック" w:eastAsia="游ゴシック"/>
                <w:b w:val="0"/>
                <w:sz w:val="18"/>
              </w:rPr>
              <w:t>603,546,065</w:t>
            </w:r>
          </w:p>
        </w:tc>
        <w:tc>
          <w:tcPr>
            <w:tcW w:type="dxa" w:w="2494"/>
            <w:shd w:val="clear" w:color="auto" w:fill="F2F5FA"/>
            <w:vAlign w:val="center"/>
          </w:tcPr>
          <w:p>
            <w:pPr>
              <w:spacing w:after="0"/>
            </w:pPr>
            <w:r>
              <w:rPr>
                <w:rFonts w:ascii="游ゴシック" w:hAnsi="游ゴシック" w:eastAsia="游ゴシック"/>
                <w:b w:val="0"/>
                <w:sz w:val="18"/>
              </w:rPr>
              <w:t>593,551,496</w:t>
            </w:r>
          </w:p>
        </w:tc>
        <w:tc>
          <w:tcPr>
            <w:tcW w:type="dxa" w:w="2041"/>
            <w:shd w:val="clear" w:color="auto" w:fill="F2F5FA"/>
            <w:vAlign w:val="center"/>
          </w:tcPr>
          <w:p>
            <w:pPr>
              <w:spacing w:after="0"/>
            </w:pPr>
            <w:r>
              <w:rPr>
                <w:rFonts w:ascii="游ゴシック" w:hAnsi="游ゴシック" w:eastAsia="游ゴシック"/>
                <w:b w:val="0"/>
                <w:sz w:val="18"/>
              </w:rPr>
              <w:t>＋9,994,569</w:t>
            </w:r>
          </w:p>
        </w:tc>
        <w:tc>
          <w:tcPr>
            <w:tcW w:type="dxa" w:w="1247"/>
            <w:shd w:val="clear" w:color="auto" w:fill="F2F5FA"/>
            <w:vAlign w:val="center"/>
          </w:tcPr>
          <w:p>
            <w:pPr>
              <w:spacing w:after="0"/>
              <w:jc w:val="center"/>
            </w:pPr>
            <w:r>
              <w:rPr>
                <w:rFonts w:ascii="游ゴシック" w:hAnsi="游ゴシック" w:eastAsia="游ゴシック"/>
                <w:b w:val="0"/>
                <w:sz w:val="18"/>
              </w:rPr>
              <w:t>＋1.68％</w:t>
            </w:r>
          </w:p>
        </w:tc>
      </w:tr>
      <w:tr>
        <w:trPr>
          <w:cantSplit/>
        </w:trPr>
        <w:tc>
          <w:tcPr>
            <w:tcW w:type="dxa" w:w="1474"/>
            <w:vAlign w:val="center"/>
          </w:tcPr>
          <w:p>
            <w:pPr>
              <w:spacing w:after="0"/>
            </w:pPr>
            <w:r>
              <w:rPr>
                <w:rFonts w:ascii="游ゴシック" w:hAnsi="游ゴシック" w:eastAsia="游ゴシック"/>
                <w:b/>
                <w:sz w:val="18"/>
              </w:rPr>
              <w:t>要介護3</w:t>
            </w:r>
          </w:p>
        </w:tc>
        <w:tc>
          <w:tcPr>
            <w:tcW w:type="dxa" w:w="2494"/>
            <w:vAlign w:val="center"/>
          </w:tcPr>
          <w:p>
            <w:pPr>
              <w:spacing w:after="0"/>
            </w:pPr>
            <w:r>
              <w:rPr>
                <w:rFonts w:ascii="游ゴシック" w:hAnsi="游ゴシック" w:eastAsia="游ゴシック"/>
                <w:b w:val="0"/>
                <w:sz w:val="18"/>
              </w:rPr>
              <w:t>651,315,681</w:t>
            </w:r>
          </w:p>
        </w:tc>
        <w:tc>
          <w:tcPr>
            <w:tcW w:type="dxa" w:w="2494"/>
            <w:vAlign w:val="center"/>
          </w:tcPr>
          <w:p>
            <w:pPr>
              <w:spacing w:after="0"/>
            </w:pPr>
            <w:r>
              <w:rPr>
                <w:rFonts w:ascii="游ゴシック" w:hAnsi="游ゴシック" w:eastAsia="游ゴシック"/>
                <w:b w:val="0"/>
                <w:sz w:val="18"/>
              </w:rPr>
              <w:t>633,548,471</w:t>
            </w:r>
          </w:p>
        </w:tc>
        <w:tc>
          <w:tcPr>
            <w:tcW w:type="dxa" w:w="2041"/>
            <w:vAlign w:val="center"/>
          </w:tcPr>
          <w:p>
            <w:pPr>
              <w:spacing w:after="0"/>
            </w:pPr>
            <w:r>
              <w:rPr>
                <w:rFonts w:ascii="游ゴシック" w:hAnsi="游ゴシック" w:eastAsia="游ゴシック"/>
                <w:b w:val="0"/>
                <w:sz w:val="18"/>
              </w:rPr>
              <w:t>＋17,767,210</w:t>
            </w:r>
          </w:p>
        </w:tc>
        <w:tc>
          <w:tcPr>
            <w:tcW w:type="dxa" w:w="1247"/>
            <w:vAlign w:val="center"/>
          </w:tcPr>
          <w:p>
            <w:pPr>
              <w:spacing w:after="0"/>
              <w:jc w:val="center"/>
            </w:pPr>
            <w:r>
              <w:rPr>
                <w:rFonts w:ascii="游ゴシック" w:hAnsi="游ゴシック" w:eastAsia="游ゴシック"/>
                <w:b w:val="0"/>
                <w:sz w:val="18"/>
              </w:rPr>
              <w:t>＋2.80％</w:t>
            </w:r>
          </w:p>
        </w:tc>
      </w:tr>
      <w:tr>
        <w:trPr>
          <w:cantSplit/>
        </w:trPr>
        <w:tc>
          <w:tcPr>
            <w:tcW w:type="dxa" w:w="1474"/>
            <w:shd w:val="clear" w:color="auto" w:fill="F2F5FA"/>
            <w:vAlign w:val="center"/>
          </w:tcPr>
          <w:p>
            <w:pPr>
              <w:spacing w:after="0"/>
            </w:pPr>
            <w:r>
              <w:rPr>
                <w:rFonts w:ascii="游ゴシック" w:hAnsi="游ゴシック" w:eastAsia="游ゴシック"/>
                <w:b/>
                <w:sz w:val="18"/>
              </w:rPr>
              <w:t>要介護4</w:t>
            </w:r>
          </w:p>
        </w:tc>
        <w:tc>
          <w:tcPr>
            <w:tcW w:type="dxa" w:w="2494"/>
            <w:shd w:val="clear" w:color="auto" w:fill="F2F5FA"/>
            <w:vAlign w:val="center"/>
          </w:tcPr>
          <w:p>
            <w:pPr>
              <w:spacing w:after="0"/>
            </w:pPr>
            <w:r>
              <w:rPr>
                <w:rFonts w:ascii="游ゴシック" w:hAnsi="游ゴシック" w:eastAsia="游ゴシック"/>
                <w:b w:val="0"/>
                <w:sz w:val="18"/>
              </w:rPr>
              <w:t>716,328,353</w:t>
            </w:r>
          </w:p>
        </w:tc>
        <w:tc>
          <w:tcPr>
            <w:tcW w:type="dxa" w:w="2494"/>
            <w:shd w:val="clear" w:color="auto" w:fill="F2F5FA"/>
            <w:vAlign w:val="center"/>
          </w:tcPr>
          <w:p>
            <w:pPr>
              <w:spacing w:after="0"/>
            </w:pPr>
            <w:r>
              <w:rPr>
                <w:rFonts w:ascii="游ゴシック" w:hAnsi="游ゴシック" w:eastAsia="游ゴシック"/>
                <w:b w:val="0"/>
                <w:sz w:val="18"/>
              </w:rPr>
              <w:t>681,531,166</w:t>
            </w:r>
          </w:p>
        </w:tc>
        <w:tc>
          <w:tcPr>
            <w:tcW w:type="dxa" w:w="2041"/>
            <w:shd w:val="clear" w:color="auto" w:fill="F2F5FA"/>
            <w:vAlign w:val="center"/>
          </w:tcPr>
          <w:p>
            <w:pPr>
              <w:spacing w:after="0"/>
            </w:pPr>
            <w:r>
              <w:rPr>
                <w:rFonts w:ascii="游ゴシック" w:hAnsi="游ゴシック" w:eastAsia="游ゴシック"/>
                <w:b w:val="0"/>
                <w:sz w:val="18"/>
              </w:rPr>
              <w:t>＋34,797,187</w:t>
            </w:r>
          </w:p>
        </w:tc>
        <w:tc>
          <w:tcPr>
            <w:tcW w:type="dxa" w:w="1247"/>
            <w:shd w:val="clear" w:color="auto" w:fill="F2F5FA"/>
            <w:vAlign w:val="center"/>
          </w:tcPr>
          <w:p>
            <w:pPr>
              <w:spacing w:after="0"/>
              <w:jc w:val="center"/>
            </w:pPr>
            <w:r>
              <w:rPr>
                <w:rFonts w:ascii="游ゴシック" w:hAnsi="游ゴシック" w:eastAsia="游ゴシック"/>
                <w:b w:val="0"/>
                <w:sz w:val="18"/>
              </w:rPr>
              <w:t>＋5.11％</w:t>
            </w:r>
          </w:p>
        </w:tc>
      </w:tr>
      <w:tr>
        <w:trPr>
          <w:cantSplit/>
        </w:trPr>
        <w:tc>
          <w:tcPr>
            <w:tcW w:type="dxa" w:w="1474"/>
            <w:vAlign w:val="center"/>
          </w:tcPr>
          <w:p>
            <w:pPr>
              <w:spacing w:after="0"/>
            </w:pPr>
            <w:r>
              <w:rPr>
                <w:rFonts w:ascii="游ゴシック" w:hAnsi="游ゴシック" w:eastAsia="游ゴシック"/>
                <w:b/>
                <w:sz w:val="18"/>
              </w:rPr>
              <w:t>要介護5</w:t>
            </w:r>
          </w:p>
        </w:tc>
        <w:tc>
          <w:tcPr>
            <w:tcW w:type="dxa" w:w="2494"/>
            <w:vAlign w:val="center"/>
          </w:tcPr>
          <w:p>
            <w:pPr>
              <w:spacing w:after="0"/>
            </w:pPr>
            <w:r>
              <w:rPr>
                <w:rFonts w:ascii="游ゴシック" w:hAnsi="游ゴシック" w:eastAsia="游ゴシック"/>
                <w:b w:val="0"/>
                <w:sz w:val="18"/>
              </w:rPr>
              <w:t>527,356,096</w:t>
            </w:r>
          </w:p>
        </w:tc>
        <w:tc>
          <w:tcPr>
            <w:tcW w:type="dxa" w:w="2494"/>
            <w:vAlign w:val="center"/>
          </w:tcPr>
          <w:p>
            <w:pPr>
              <w:spacing w:after="0"/>
            </w:pPr>
            <w:r>
              <w:rPr>
                <w:rFonts w:ascii="游ゴシック" w:hAnsi="游ゴシック" w:eastAsia="游ゴシック"/>
                <w:b w:val="0"/>
                <w:sz w:val="18"/>
              </w:rPr>
              <w:t>498,181,405</w:t>
            </w:r>
          </w:p>
        </w:tc>
        <w:tc>
          <w:tcPr>
            <w:tcW w:type="dxa" w:w="2041"/>
            <w:vAlign w:val="center"/>
          </w:tcPr>
          <w:p>
            <w:pPr>
              <w:spacing w:after="0"/>
            </w:pPr>
            <w:r>
              <w:rPr>
                <w:rFonts w:ascii="游ゴシック" w:hAnsi="游ゴシック" w:eastAsia="游ゴシック"/>
                <w:b w:val="0"/>
                <w:sz w:val="18"/>
              </w:rPr>
              <w:t>＋29,174,691</w:t>
            </w:r>
          </w:p>
        </w:tc>
        <w:tc>
          <w:tcPr>
            <w:tcW w:type="dxa" w:w="1247"/>
            <w:vAlign w:val="center"/>
          </w:tcPr>
          <w:p>
            <w:pPr>
              <w:spacing w:after="0"/>
              <w:jc w:val="center"/>
            </w:pPr>
            <w:r>
              <w:rPr>
                <w:rFonts w:ascii="游ゴシック" w:hAnsi="游ゴシック" w:eastAsia="游ゴシック"/>
                <w:b w:val="0"/>
                <w:sz w:val="18"/>
              </w:rPr>
              <w:t>＋5.86％</w:t>
            </w:r>
          </w:p>
        </w:tc>
      </w:tr>
      <w:tr>
        <w:trPr>
          <w:cantSplit/>
        </w:trPr>
        <w:tc>
          <w:tcPr>
            <w:tcW w:type="dxa" w:w="1474"/>
            <w:shd w:val="clear" w:color="auto" w:fill="F2F5FA"/>
            <w:vAlign w:val="center"/>
          </w:tcPr>
          <w:p>
            <w:pPr>
              <w:spacing w:after="0"/>
            </w:pPr>
            <w:r>
              <w:rPr>
                <w:rFonts w:ascii="游ゴシック" w:hAnsi="游ゴシック" w:eastAsia="游ゴシック"/>
                <w:b/>
                <w:sz w:val="18"/>
              </w:rPr>
              <w:t>総計</w:t>
            </w:r>
          </w:p>
        </w:tc>
        <w:tc>
          <w:tcPr>
            <w:tcW w:type="dxa" w:w="2494"/>
            <w:shd w:val="clear" w:color="auto" w:fill="F2F5FA"/>
            <w:vAlign w:val="center"/>
          </w:tcPr>
          <w:p>
            <w:pPr>
              <w:spacing w:after="0"/>
            </w:pPr>
            <w:r>
              <w:rPr>
                <w:rFonts w:ascii="游ゴシック" w:hAnsi="游ゴシック" w:eastAsia="游ゴシック"/>
                <w:b w:val="0"/>
                <w:sz w:val="18"/>
              </w:rPr>
              <w:t>3,213,054,558</w:t>
            </w:r>
          </w:p>
        </w:tc>
        <w:tc>
          <w:tcPr>
            <w:tcW w:type="dxa" w:w="2494"/>
            <w:shd w:val="clear" w:color="auto" w:fill="F2F5FA"/>
            <w:vAlign w:val="center"/>
          </w:tcPr>
          <w:p>
            <w:pPr>
              <w:spacing w:after="0"/>
            </w:pPr>
            <w:r>
              <w:rPr>
                <w:rFonts w:ascii="游ゴシック" w:hAnsi="游ゴシック" w:eastAsia="游ゴシック"/>
                <w:b w:val="0"/>
                <w:sz w:val="18"/>
              </w:rPr>
              <w:t>3,083,474,291</w:t>
            </w:r>
          </w:p>
        </w:tc>
        <w:tc>
          <w:tcPr>
            <w:tcW w:type="dxa" w:w="2041"/>
            <w:shd w:val="clear" w:color="auto" w:fill="F2F5FA"/>
            <w:vAlign w:val="center"/>
          </w:tcPr>
          <w:p>
            <w:pPr>
              <w:spacing w:after="0"/>
            </w:pPr>
            <w:r>
              <w:rPr>
                <w:rFonts w:ascii="游ゴシック" w:hAnsi="游ゴシック" w:eastAsia="游ゴシック"/>
                <w:b w:val="0"/>
                <w:sz w:val="18"/>
              </w:rPr>
              <w:t>＋129,580,267</w:t>
            </w:r>
          </w:p>
        </w:tc>
        <w:tc>
          <w:tcPr>
            <w:tcW w:type="dxa" w:w="1247"/>
            <w:shd w:val="clear" w:color="auto" w:fill="F2F5FA"/>
            <w:vAlign w:val="center"/>
          </w:tcPr>
          <w:p>
            <w:pPr>
              <w:spacing w:after="0"/>
              <w:jc w:val="center"/>
            </w:pPr>
            <w:r>
              <w:rPr>
                <w:rFonts w:ascii="游ゴシック" w:hAnsi="游ゴシック" w:eastAsia="游ゴシック"/>
                <w:b w:val="0"/>
                <w:sz w:val="18"/>
              </w:rPr>
              <w:t>＋4.20％</w:t>
            </w:r>
          </w:p>
        </w:tc>
      </w:tr>
    </w:tbl>
    <w:p>
      <w:pPr>
        <w:ind w:left="227"/>
      </w:pPr>
      <w:r>
        <w:rPr>
          <w:rFonts w:ascii="游ゴシック" w:hAnsi="游ゴシック" w:eastAsia="游ゴシック"/>
          <w:sz w:val="18"/>
        </w:rPr>
        <w:t>※ 差は1.68％から6.23％まで幅があり、1か月分が欠けたような一様な差ではありませんでした。この幅は、表が明細と一致していなかったことの現れです。</w:t>
      </w:r>
    </w:p>
    <w:p>
      <w:pPr>
        <w:keepNext/>
        <w:spacing w:before="180" w:after="60"/>
      </w:pPr>
      <w:r>
        <w:rPr>
          <w:rFonts w:ascii="游ゴシック" w:hAnsi="游ゴシック" w:eastAsia="游ゴシック"/>
          <w:b/>
          <w:sz w:val="22"/>
        </w:rPr>
        <w:t>３　差の原因</w:t>
      </w:r>
    </w:p>
    <w:p>
      <w:pPr>
        <w:ind w:left="340" w:hanging="340"/>
      </w:pPr>
      <w:r>
        <w:rPr>
          <w:rFonts w:ascii="游ゴシック" w:hAnsi="游ゴシック" w:eastAsia="游ゴシック"/>
          <w:sz w:val="20"/>
        </w:rPr>
        <w:t>・従前のファイルも、その明細（個票）を集計すると3,213,054,558円であり、要介護度別も3町合計と円単位で一致する。表の側だけが明細と一致していなかった。</w:t>
      </w:r>
    </w:p>
    <w:p>
      <w:pPr>
        <w:ind w:left="340" w:hanging="340"/>
      </w:pPr>
      <w:r>
        <w:rPr>
          <w:rFonts w:ascii="游ゴシック" w:hAnsi="游ゴシック" w:eastAsia="游ゴシック"/>
          <w:sz w:val="20"/>
        </w:rPr>
        <w:t>・したがって差は、3町と広域連合で対象月・審査月・住所地特例の扱いが違ったことによるものではない。</w:t>
      </w:r>
    </w:p>
    <w:p>
      <w:pPr>
        <w:ind w:left="340" w:hanging="340"/>
      </w:pPr>
      <w:r>
        <w:rPr>
          <w:rFonts w:ascii="游ゴシック" w:hAnsi="游ゴシック" w:eastAsia="游ゴシック"/>
          <w:sz w:val="20"/>
        </w:rPr>
        <w:t>・再提供を受けたファイルの表は明細と一致しており、3町合計＝広域連合単位となった。</w:t>
      </w:r>
    </w:p>
    <w:p>
      <w:pPr>
        <w:ind w:left="340" w:hanging="340"/>
      </w:pPr>
      <w:r>
        <w:rPr>
          <w:rFonts w:ascii="游ゴシック" w:hAnsi="游ゴシック" w:eastAsia="游ゴシック"/>
          <w:sz w:val="20"/>
        </w:rPr>
        <w:t>・従前お示ししていた「町別に按分して比べると3町とも上回る」「広域連合のファイルだけ伸びが趨勢から外れている」という整理は、表の値を広域連合の実績として扱っていたことによるものであり、取り下げる。</w:t>
      </w:r>
    </w:p>
    <w:p>
      <w:pPr>
        <w:keepNext/>
        <w:spacing w:before="180" w:after="60"/>
      </w:pPr>
      <w:r>
        <w:rPr>
          <w:rFonts w:ascii="游ゴシック" w:hAnsi="游ゴシック" w:eastAsia="游ゴシック"/>
          <w:b/>
          <w:sz w:val="22"/>
        </w:rPr>
        <w:t>４　残っている手掛かり</w:t>
      </w:r>
    </w:p>
    <w:p>
      <w:pPr>
        <w:spacing w:after="80"/>
      </w:pPr>
      <w:r>
        <w:rPr>
          <w:rFonts w:ascii="游ゴシック" w:hAnsi="游ゴシック" w:eastAsia="游ゴシック"/>
          <w:b w:val="0"/>
          <w:sz w:val="21"/>
        </w:rPr>
        <w:t>美瑛町の令和7年度のファイルは、1人1月あたり利用回（日）数のシートの名称が「1人1月あたり利用回（日）数（東神楽）」となっております。収録されている値は東神楽町のファイルと一致せず美瑛町の値でしたので、当方ではシート名の書き誤りとして扱っております。給付費の差が解消した後も、この点は書き誤りとして残ります。</w:t>
      </w:r>
    </w:p>
    <w:p>
      <w:pPr>
        <w:keepNext/>
        <w:spacing w:before="180" w:after="60"/>
      </w:pPr>
      <w:r>
        <w:rPr>
          <w:rFonts w:ascii="游ゴシック" w:hAnsi="游ゴシック" w:eastAsia="游ゴシック"/>
          <w:b/>
          <w:sz w:val="22"/>
        </w:rPr>
        <w:t>５　同じ食い違いが起きたときの当たり方</w:t>
      </w:r>
    </w:p>
    <w:p>
      <w:pPr>
        <w:ind w:left="340" w:hanging="340"/>
      </w:pPr>
      <w:r>
        <w:rPr>
          <w:rFonts w:ascii="游ゴシック" w:hAnsi="游ゴシック" w:eastAsia="游ゴシック"/>
          <w:sz w:val="20"/>
        </w:rPr>
        <w:t>・表（ピボット）の値と、同じファイルの明細を集計した額とを先に突き合わせる。表が明細と一致していなければ、抽出条件を照会する前に表の更新をお願いすればよい。</w:t>
      </w:r>
    </w:p>
    <w:p>
      <w:pPr>
        <w:ind w:left="340" w:hanging="340"/>
      </w:pPr>
      <w:r>
        <w:rPr>
          <w:rFonts w:ascii="游ゴシック" w:hAnsi="游ゴシック" w:eastAsia="游ゴシック"/>
          <w:sz w:val="20"/>
        </w:rPr>
        <w:t>・電話では「どちらかが誤っている」と言わず、「どの条件で抽出したものか」を伺う形にする。他町の名称を出して比べない。</w:t>
      </w:r>
    </w:p>
    <w:p>
      <w:pPr>
        <w:ind w:left="340" w:hanging="340"/>
      </w:pPr>
      <w:r>
        <w:rPr>
          <w:rFonts w:ascii="游ゴシック" w:hAnsi="游ゴシック" w:eastAsia="游ゴシック"/>
          <w:sz w:val="20"/>
        </w:rPr>
        <w:t>・保険料の算定には介護保険特別会計の決算額を用いています。給付費データの食い違いは計画書に載せる実績の記載にかかわるものです。</w:t>
      </w:r>
    </w:p>
    <w:p>
      <w:pPr>
        <w:ind w:left="340" w:hanging="340"/>
      </w:pPr>
      <w:r>
        <w:rPr>
          <w:rFonts w:ascii="游ゴシック" w:hAnsi="游ゴシック" w:eastAsia="游ゴシック"/>
          <w:sz w:val="20"/>
        </w:rPr>
        <w:t>・サービス見込量・給付費・保険料は、介護保険事業状況報告（年報）の広域連合単位の値により算定しています（令和7年度の給付費2,915,307,125円。見える化システムの総括表と円単位で一致します）。</w:t>
      </w:r>
    </w:p>
    <w:p>
      <w:r>
        <w:br w:type="page"/>
      </w:r>
    </w:p>
    <w:p>
      <w:pPr>
        <w:keepNext/>
        <w:spacing w:before="280" w:after="120"/>
      </w:pPr>
      <w:r>
        <w:rPr>
          <w:rFonts w:ascii="游ゴシック" w:hAnsi="游ゴシック" w:eastAsia="游ゴシック"/>
          <w:b/>
          <w:color w:val="1F3864"/>
          <w:sz w:val="26"/>
        </w:rPr>
        <w:t>第7節　自己点検</w:t>
      </w:r>
    </w:p>
    <w:p>
      <w:pPr>
        <w:keepNext/>
        <w:spacing w:before="160" w:after="40"/>
      </w:pPr>
      <w:r>
        <w:rPr>
          <w:rFonts w:ascii="游ゴシック" w:hAnsi="游ゴシック" w:eastAsia="游ゴシック"/>
          <w:b/>
          <w:sz w:val="20"/>
        </w:rPr>
        <w:t>表9　本書の数値の点検</w:t>
      </w:r>
    </w:p>
    <w:tbl>
      <w:tblPr>
        <w:tblStyle w:val="TableGrid"/>
        <w:tblW w:type="auto" w:w="0"/>
        <w:jc w:val="center"/>
        <w:tblLayout w:type="fixed"/>
        <w:tblCellMar>
          <w:top w:w="34" w:type="dxa"/>
          <w:left w:w="68" w:type="dxa"/>
          <w:bottom w:w="34" w:type="dxa"/>
          <w:right w:w="68" w:type="dxa"/>
        </w:tblCellMar>
        <w:tblLook w:firstColumn="1" w:firstRow="1" w:lastColumn="0" w:lastRow="0" w:noHBand="0" w:noVBand="1" w:val="04A0"/>
      </w:tblPr>
      <w:tblGrid>
        <w:gridCol w:w="2438"/>
        <w:gridCol w:w="2438"/>
        <w:gridCol w:w="2438"/>
        <w:gridCol w:w="2438"/>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8"/>
              </w:rPr>
              <w:t>No.</w:t>
            </w:r>
          </w:p>
        </w:tc>
        <w:tc>
          <w:tcPr>
            <w:tcW w:type="dxa" w:w="3402"/>
            <w:shd w:val="clear" w:color="auto" w:fill="1F3864"/>
            <w:vAlign w:val="center"/>
          </w:tcPr>
          <w:p>
            <w:pPr>
              <w:spacing w:after="0"/>
              <w:jc w:val="center"/>
            </w:pPr>
            <w:r>
              <w:rPr>
                <w:rFonts w:ascii="游ゴシック" w:hAnsi="游ゴシック" w:eastAsia="游ゴシック"/>
                <w:b/>
                <w:color w:val="FFFFFF"/>
                <w:sz w:val="18"/>
              </w:rPr>
              <w:t>点検の内容</w:t>
            </w:r>
          </w:p>
        </w:tc>
        <w:tc>
          <w:tcPr>
            <w:tcW w:type="dxa" w:w="4309"/>
            <w:shd w:val="clear" w:color="auto" w:fill="1F3864"/>
            <w:vAlign w:val="center"/>
          </w:tcPr>
          <w:p>
            <w:pPr>
              <w:spacing w:after="0"/>
              <w:jc w:val="center"/>
            </w:pPr>
            <w:r>
              <w:rPr>
                <w:rFonts w:ascii="游ゴシック" w:hAnsi="游ゴシック" w:eastAsia="游ゴシック"/>
                <w:b/>
                <w:color w:val="FFFFFF"/>
                <w:sz w:val="18"/>
              </w:rPr>
              <w:t>結果</w:t>
            </w:r>
          </w:p>
        </w:tc>
        <w:tc>
          <w:tcPr>
            <w:tcW w:type="dxa" w:w="1134"/>
            <w:shd w:val="clear" w:color="auto" w:fill="1F3864"/>
            <w:vAlign w:val="center"/>
          </w:tcPr>
          <w:p>
            <w:pPr>
              <w:spacing w:after="0"/>
              <w:jc w:val="center"/>
            </w:pPr>
            <w:r>
              <w:rPr>
                <w:rFonts w:ascii="游ゴシック" w:hAnsi="游ゴシック" w:eastAsia="游ゴシック"/>
                <w:b/>
                <w:color w:val="FFFFFF"/>
                <w:sz w:val="18"/>
              </w:rPr>
              <w:t>判定</w:t>
            </w:r>
          </w:p>
        </w:tc>
      </w:tr>
      <w:tr>
        <w:trPr>
          <w:cantSplit/>
        </w:trPr>
        <w:tc>
          <w:tcPr>
            <w:tcW w:type="dxa" w:w="794"/>
            <w:vAlign w:val="center"/>
          </w:tcPr>
          <w:p>
            <w:pPr>
              <w:spacing w:after="0"/>
              <w:jc w:val="center"/>
            </w:pPr>
            <w:r>
              <w:rPr>
                <w:rFonts w:ascii="游ゴシック" w:hAnsi="游ゴシック" w:eastAsia="游ゴシック"/>
                <w:b/>
                <w:sz w:val="18"/>
              </w:rPr>
              <w:t>1</w:t>
            </w:r>
          </w:p>
        </w:tc>
        <w:tc>
          <w:tcPr>
            <w:tcW w:type="dxa" w:w="3402"/>
            <w:vAlign w:val="center"/>
          </w:tcPr>
          <w:p>
            <w:pPr>
              <w:spacing w:after="0"/>
            </w:pPr>
            <w:r>
              <w:rPr>
                <w:rFonts w:ascii="游ゴシック" w:hAnsi="游ゴシック" w:eastAsia="游ゴシック"/>
                <w:b w:val="0"/>
                <w:sz w:val="18"/>
              </w:rPr>
              <w:t>3町計と広域連合が3か年とも一致すること</w:t>
            </w:r>
          </w:p>
        </w:tc>
        <w:tc>
          <w:tcPr>
            <w:tcW w:type="dxa" w:w="4309"/>
            <w:vAlign w:val="center"/>
          </w:tcPr>
          <w:p>
            <w:pPr>
              <w:spacing w:after="0"/>
            </w:pPr>
            <w:r>
              <w:rPr>
                <w:rFonts w:ascii="游ゴシック" w:hAnsi="游ゴシック" w:eastAsia="游ゴシック"/>
                <w:b w:val="0"/>
                <w:sz w:val="18"/>
              </w:rPr>
              <w:t>R6 差0円／R7 差0円／R8 差0円</w:t>
            </w:r>
          </w:p>
        </w:tc>
        <w:tc>
          <w:tcPr>
            <w:tcW w:type="dxa" w:w="1134"/>
            <w:vAlign w:val="center"/>
          </w:tcPr>
          <w:p>
            <w:pPr>
              <w:spacing w:after="0"/>
              <w:jc w:val="center"/>
            </w:pPr>
            <w:r>
              <w:rPr>
                <w:rFonts w:ascii="游ゴシック" w:hAnsi="游ゴシック" w:eastAsia="游ゴシック"/>
                <w:b w:val="0"/>
                <w:sz w:val="18"/>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8"/>
              </w:rPr>
              <w:t>2</w:t>
            </w:r>
          </w:p>
        </w:tc>
        <w:tc>
          <w:tcPr>
            <w:tcW w:type="dxa" w:w="3402"/>
            <w:shd w:val="clear" w:color="auto" w:fill="F2F5FA"/>
            <w:vAlign w:val="center"/>
          </w:tcPr>
          <w:p>
            <w:pPr>
              <w:spacing w:after="0"/>
            </w:pPr>
            <w:r>
              <w:rPr>
                <w:rFonts w:ascii="游ゴシック" w:hAnsi="游ゴシック" w:eastAsia="游ゴシック"/>
                <w:b w:val="0"/>
                <w:sz w:val="18"/>
              </w:rPr>
              <w:t>令和7年度の要介護度別も全7区分で一致すること</w:t>
            </w:r>
          </w:p>
        </w:tc>
        <w:tc>
          <w:tcPr>
            <w:tcW w:type="dxa" w:w="4309"/>
            <w:shd w:val="clear" w:color="auto" w:fill="F2F5FA"/>
            <w:vAlign w:val="center"/>
          </w:tcPr>
          <w:p>
            <w:pPr>
              <w:spacing w:after="0"/>
            </w:pPr>
            <w:r>
              <w:rPr>
                <w:rFonts w:ascii="游ゴシック" w:hAnsi="游ゴシック" w:eastAsia="游ゴシック"/>
                <w:b w:val="0"/>
                <w:sz w:val="18"/>
              </w:rPr>
              <w:t>不一致 0区分</w:t>
            </w:r>
          </w:p>
        </w:tc>
        <w:tc>
          <w:tcPr>
            <w:tcW w:type="dxa" w:w="1134"/>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794"/>
            <w:vAlign w:val="center"/>
          </w:tcPr>
          <w:p>
            <w:pPr>
              <w:spacing w:after="0"/>
              <w:jc w:val="center"/>
            </w:pPr>
            <w:r>
              <w:rPr>
                <w:rFonts w:ascii="游ゴシック" w:hAnsi="游ゴシック" w:eastAsia="游ゴシック"/>
                <w:b/>
                <w:sz w:val="18"/>
              </w:rPr>
              <w:t>3</w:t>
            </w:r>
          </w:p>
        </w:tc>
        <w:tc>
          <w:tcPr>
            <w:tcW w:type="dxa" w:w="3402"/>
            <w:vAlign w:val="center"/>
          </w:tcPr>
          <w:p>
            <w:pPr>
              <w:spacing w:after="0"/>
            </w:pPr>
            <w:r>
              <w:rPr>
                <w:rFonts w:ascii="游ゴシック" w:hAnsi="游ゴシック" w:eastAsia="游ゴシック"/>
                <w:b w:val="0"/>
                <w:sz w:val="18"/>
              </w:rPr>
              <w:t>従前の表の値との差が129,580,267円であったこと</w:t>
            </w:r>
          </w:p>
        </w:tc>
        <w:tc>
          <w:tcPr>
            <w:tcW w:type="dxa" w:w="4309"/>
            <w:vAlign w:val="center"/>
          </w:tcPr>
          <w:p>
            <w:pPr>
              <w:spacing w:after="0"/>
            </w:pPr>
            <w:r>
              <w:rPr>
                <w:rFonts w:ascii="游ゴシック" w:hAnsi="游ゴシック" w:eastAsia="游ゴシック"/>
                <w:b w:val="0"/>
                <w:sz w:val="18"/>
              </w:rPr>
              <w:t>差 129,580,267円（4.20％）</w:t>
            </w:r>
          </w:p>
        </w:tc>
        <w:tc>
          <w:tcPr>
            <w:tcW w:type="dxa" w:w="1134"/>
            <w:vAlign w:val="center"/>
          </w:tcPr>
          <w:p>
            <w:pPr>
              <w:spacing w:after="0"/>
              <w:jc w:val="center"/>
            </w:pPr>
            <w:r>
              <w:rPr>
                <w:rFonts w:ascii="游ゴシック" w:hAnsi="游ゴシック" w:eastAsia="游ゴシック"/>
                <w:b w:val="0"/>
                <w:sz w:val="18"/>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8"/>
              </w:rPr>
              <w:t>4</w:t>
            </w:r>
          </w:p>
        </w:tc>
        <w:tc>
          <w:tcPr>
            <w:tcW w:type="dxa" w:w="3402"/>
            <w:shd w:val="clear" w:color="auto" w:fill="F2F5FA"/>
            <w:vAlign w:val="center"/>
          </w:tcPr>
          <w:p>
            <w:pPr>
              <w:spacing w:after="0"/>
            </w:pPr>
            <w:r>
              <w:rPr>
                <w:rFonts w:ascii="游ゴシック" w:hAnsi="游ゴシック" w:eastAsia="游ゴシック"/>
                <w:b w:val="0"/>
                <w:sz w:val="18"/>
              </w:rPr>
              <w:t>従前の表との差が要介護度により一様でなかったこと</w:t>
            </w:r>
          </w:p>
        </w:tc>
        <w:tc>
          <w:tcPr>
            <w:tcW w:type="dxa" w:w="4309"/>
            <w:shd w:val="clear" w:color="auto" w:fill="F2F5FA"/>
            <w:vAlign w:val="center"/>
          </w:tcPr>
          <w:p>
            <w:pPr>
              <w:spacing w:after="0"/>
            </w:pPr>
            <w:r>
              <w:rPr>
                <w:rFonts w:ascii="游ゴシック" w:hAnsi="游ゴシック" w:eastAsia="游ゴシック"/>
                <w:b w:val="0"/>
                <w:sz w:val="18"/>
              </w:rPr>
              <w:t>1.68％から6.23％まで</w:t>
            </w:r>
          </w:p>
        </w:tc>
        <w:tc>
          <w:tcPr>
            <w:tcW w:type="dxa" w:w="1134"/>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794"/>
            <w:vAlign w:val="center"/>
          </w:tcPr>
          <w:p>
            <w:pPr>
              <w:spacing w:after="0"/>
              <w:jc w:val="center"/>
            </w:pPr>
            <w:r>
              <w:rPr>
                <w:rFonts w:ascii="游ゴシック" w:hAnsi="游ゴシック" w:eastAsia="游ゴシック"/>
                <w:b/>
                <w:sz w:val="18"/>
              </w:rPr>
              <w:t>5</w:t>
            </w:r>
          </w:p>
        </w:tc>
        <w:tc>
          <w:tcPr>
            <w:tcW w:type="dxa" w:w="3402"/>
            <w:vAlign w:val="center"/>
          </w:tcPr>
          <w:p>
            <w:pPr>
              <w:spacing w:after="0"/>
            </w:pPr>
            <w:r>
              <w:rPr>
                <w:rFonts w:ascii="游ゴシック" w:hAnsi="游ゴシック" w:eastAsia="游ゴシック"/>
                <w:b w:val="0"/>
                <w:sz w:val="18"/>
              </w:rPr>
              <w:t>再提供後の3町計が従前の表の値を上回っていること</w:t>
            </w:r>
          </w:p>
        </w:tc>
        <w:tc>
          <w:tcPr>
            <w:tcW w:type="dxa" w:w="4309"/>
            <w:vAlign w:val="center"/>
          </w:tcPr>
          <w:p>
            <w:pPr>
              <w:spacing w:after="0"/>
            </w:pPr>
            <w:r>
              <w:rPr>
                <w:rFonts w:ascii="游ゴシック" w:hAnsi="游ゴシック" w:eastAsia="游ゴシック"/>
                <w:b w:val="0"/>
                <w:sz w:val="18"/>
              </w:rPr>
              <w:t>3町計 3,213,054,558円／従前の表 3,083,474,291円</w:t>
            </w:r>
          </w:p>
        </w:tc>
        <w:tc>
          <w:tcPr>
            <w:tcW w:type="dxa" w:w="1134"/>
            <w:vAlign w:val="center"/>
          </w:tcPr>
          <w:p>
            <w:pPr>
              <w:spacing w:after="0"/>
              <w:jc w:val="center"/>
            </w:pPr>
            <w:r>
              <w:rPr>
                <w:rFonts w:ascii="游ゴシック" w:hAnsi="游ゴシック" w:eastAsia="游ゴシック"/>
                <w:b w:val="0"/>
                <w:sz w:val="18"/>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8"/>
              </w:rPr>
              <w:t>6</w:t>
            </w:r>
          </w:p>
        </w:tc>
        <w:tc>
          <w:tcPr>
            <w:tcW w:type="dxa" w:w="3402"/>
            <w:shd w:val="clear" w:color="auto" w:fill="F2F5FA"/>
            <w:vAlign w:val="center"/>
          </w:tcPr>
          <w:p>
            <w:pPr>
              <w:spacing w:after="0"/>
            </w:pPr>
            <w:r>
              <w:rPr>
                <w:rFonts w:ascii="游ゴシック" w:hAnsi="游ゴシック" w:eastAsia="游ゴシック"/>
                <w:b w:val="0"/>
                <w:sz w:val="18"/>
              </w:rPr>
              <w:t>令和6年度から令和7年度への伸びが3町・広域連合とも正であること</w:t>
            </w:r>
          </w:p>
        </w:tc>
        <w:tc>
          <w:tcPr>
            <w:tcW w:type="dxa" w:w="4309"/>
            <w:shd w:val="clear" w:color="auto" w:fill="F2F5FA"/>
            <w:vAlign w:val="center"/>
          </w:tcPr>
          <w:p>
            <w:pPr>
              <w:spacing w:after="0"/>
            </w:pPr>
            <w:r>
              <w:rPr>
                <w:rFonts w:ascii="游ゴシック" w:hAnsi="游ゴシック" w:eastAsia="游ゴシック"/>
                <w:b w:val="0"/>
                <w:sz w:val="18"/>
              </w:rPr>
              <w:t>広域連合+4.15％／3町+2.69〜+6.59％</w:t>
            </w:r>
          </w:p>
        </w:tc>
        <w:tc>
          <w:tcPr>
            <w:tcW w:type="dxa" w:w="1134"/>
            <w:shd w:val="clear" w:color="auto" w:fill="F2F5FA"/>
            <w:vAlign w:val="center"/>
          </w:tcPr>
          <w:p>
            <w:pPr>
              <w:spacing w:after="0"/>
              <w:jc w:val="center"/>
            </w:pPr>
            <w:r>
              <w:rPr>
                <w:rFonts w:ascii="游ゴシック" w:hAnsi="游ゴシック" w:eastAsia="游ゴシック"/>
                <w:b w:val="0"/>
                <w:sz w:val="18"/>
              </w:rPr>
              <w:t>適合</w:t>
            </w:r>
          </w:p>
        </w:tc>
      </w:tr>
      <w:tr>
        <w:trPr>
          <w:cantSplit/>
        </w:trPr>
        <w:tc>
          <w:tcPr>
            <w:tcW w:type="dxa" w:w="794"/>
            <w:vAlign w:val="center"/>
          </w:tcPr>
          <w:p>
            <w:pPr>
              <w:spacing w:after="0"/>
              <w:jc w:val="center"/>
            </w:pPr>
            <w:r>
              <w:rPr>
                <w:rFonts w:ascii="游ゴシック" w:hAnsi="游ゴシック" w:eastAsia="游ゴシック"/>
                <w:b/>
                <w:sz w:val="18"/>
              </w:rPr>
              <w:t>7</w:t>
            </w:r>
          </w:p>
        </w:tc>
        <w:tc>
          <w:tcPr>
            <w:tcW w:type="dxa" w:w="3402"/>
            <w:vAlign w:val="center"/>
          </w:tcPr>
          <w:p>
            <w:pPr>
              <w:spacing w:after="0"/>
            </w:pPr>
            <w:r>
              <w:rPr>
                <w:rFonts w:ascii="游ゴシック" w:hAnsi="游ゴシック" w:eastAsia="游ゴシック"/>
                <w:b w:val="0"/>
                <w:sz w:val="18"/>
              </w:rPr>
              <w:t>美瑛町 令和7年度のシート名の不一致が1件あること</w:t>
            </w:r>
          </w:p>
        </w:tc>
        <w:tc>
          <w:tcPr>
            <w:tcW w:type="dxa" w:w="4309"/>
            <w:vAlign w:val="center"/>
          </w:tcPr>
          <w:p>
            <w:pPr>
              <w:spacing w:after="0"/>
            </w:pPr>
            <w:r>
              <w:rPr>
                <w:rFonts w:ascii="游ゴシック" w:hAnsi="游ゴシック" w:eastAsia="游ゴシック"/>
                <w:b w:val="0"/>
                <w:sz w:val="18"/>
              </w:rPr>
              <w:t>美瑛町 R7 1人1月あたり利用回（日）数（東神楽）</w:t>
            </w:r>
          </w:p>
        </w:tc>
        <w:tc>
          <w:tcPr>
            <w:tcW w:type="dxa" w:w="1134"/>
            <w:vAlign w:val="center"/>
          </w:tcPr>
          <w:p>
            <w:pPr>
              <w:spacing w:after="0"/>
              <w:jc w:val="center"/>
            </w:pPr>
            <w:r>
              <w:rPr>
                <w:rFonts w:ascii="游ゴシック" w:hAnsi="游ゴシック" w:eastAsia="游ゴシック"/>
                <w:b w:val="0"/>
                <w:sz w:val="18"/>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8"/>
              </w:rPr>
              <w:t>8</w:t>
            </w:r>
          </w:p>
        </w:tc>
        <w:tc>
          <w:tcPr>
            <w:tcW w:type="dxa" w:w="3402"/>
            <w:shd w:val="clear" w:color="auto" w:fill="F2F5FA"/>
            <w:vAlign w:val="center"/>
          </w:tcPr>
          <w:p>
            <w:pPr>
              <w:spacing w:after="0"/>
            </w:pPr>
            <w:r>
              <w:rPr>
                <w:rFonts w:ascii="游ゴシック" w:hAnsi="游ゴシック" w:eastAsia="游ゴシック"/>
                <w:b w:val="0"/>
                <w:sz w:val="18"/>
              </w:rPr>
              <w:t>確認事項をソースから読めること</w:t>
            </w:r>
          </w:p>
        </w:tc>
        <w:tc>
          <w:tcPr>
            <w:tcW w:type="dxa" w:w="4309"/>
            <w:shd w:val="clear" w:color="auto" w:fill="F2F5FA"/>
            <w:vAlign w:val="center"/>
          </w:tcPr>
          <w:p>
            <w:pPr>
              <w:spacing w:after="0"/>
            </w:pPr>
            <w:r>
              <w:rPr>
                <w:rFonts w:ascii="游ゴシック" w:hAnsi="游ゴシック" w:eastAsia="游ゴシック"/>
                <w:b w:val="0"/>
                <w:sz w:val="18"/>
              </w:rPr>
              <w:t>189件（No.87は「給付費データ集計　令和7年度の広域連合単位と3町合計の差」）</w:t>
            </w:r>
          </w:p>
        </w:tc>
        <w:tc>
          <w:tcPr>
            <w:tcW w:type="dxa" w:w="1134"/>
            <w:shd w:val="clear" w:color="auto" w:fill="F2F5FA"/>
            <w:vAlign w:val="center"/>
          </w:tcPr>
          <w:p>
            <w:pPr>
              <w:spacing w:after="0"/>
              <w:jc w:val="center"/>
            </w:pPr>
            <w:r>
              <w:rPr>
                <w:rFonts w:ascii="游ゴシック" w:hAnsi="游ゴシック" w:eastAsia="游ゴシック"/>
                <w:b w:val="0"/>
                <w:sz w:val="18"/>
              </w:rPr>
              <w:t>適合</w:t>
            </w:r>
          </w:p>
        </w:tc>
      </w:tr>
    </w:tbl>
    <w:p>
      <w:pPr>
        <w:ind w:left="227"/>
      </w:pPr>
      <w:r>
        <w:rPr>
          <w:rFonts w:ascii="游ゴシック" w:hAnsi="游ゴシック" w:eastAsia="游ゴシック"/>
          <w:sz w:val="18"/>
        </w:rPr>
        <w:t>※ 本書の数値は、給付費データ集計の集計値、サービス見込量の算定 第1次概算、及び業務工程管理表の確認事項一覧から読み込んで作成しています。固定値で書き写していないため、算定を改めれば本書の数値も追随します。</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