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作成日 令和8年10月15日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にいただいたご照会に対するご回答です。</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ご決定をお待ちしている事項は、すべて「決まらない場合の当方の扱い」を仮置きしています。</w:t>
      </w:r>
      <w:r>
        <w:rPr>
          <w:rFonts w:ascii="游ゴシック" w:hAnsi="游ゴシック" w:eastAsia="游ゴシック"/>
          <w:b w:val="0"/>
          <w:sz w:val="21"/>
        </w:rPr>
        <w:t xml:space="preserve"> したがってサービス見込量 第2次概算（令和8年10月30日）はご決定を待たずに組めます。ただし仮置きは協議を進めるためのものであり、計画として確定する前にはご判断を要します（第4節）。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w:t>
      </w:r>
    </w:p>
    <w:p>
      <w:pPr>
        <w:keepNext/>
        <w:spacing w:before="160" w:after="40"/>
      </w:pPr>
      <w:r>
        <w:rPr>
          <w:rFonts w:ascii="游ゴシック" w:hAnsi="游ゴシック" w:eastAsia="游ゴシック"/>
          <w:b/>
          <w:sz w:val="20"/>
        </w:rPr>
        <w:t>表3　業務内容別の進捗（基準日 令和8年10月15日）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62％</w:t>
            </w:r>
          </w:p>
        </w:tc>
        <w:tc>
          <w:tcPr>
            <w:tcW w:type="dxa" w:w="1928"/>
            <w:vAlign w:val="center"/>
          </w:tcPr>
          <w:p>
            <w:pPr>
              <w:keepNext/>
              <w:spacing w:after="0"/>
            </w:pPr>
            <w:r>
              <w:rPr>
                <w:rFonts w:ascii="游ゴシック" w:hAnsi="游ゴシック" w:eastAsia="游ゴシック"/>
                <w:b w:val="0"/>
                <w:sz w:val="18"/>
              </w:rPr>
              <w:t>完了1・一部3・未着手0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93％</w:t>
            </w:r>
          </w:p>
        </w:tc>
        <w:tc>
          <w:tcPr>
            <w:tcW w:type="dxa" w:w="1928"/>
            <w:shd w:val="clear" w:color="auto" w:fill="F2F5FA"/>
            <w:vAlign w:val="center"/>
          </w:tcPr>
          <w:p>
            <w:pPr>
              <w:keepNext/>
              <w:spacing w:after="0"/>
            </w:pPr>
            <w:r>
              <w:rPr>
                <w:rFonts w:ascii="游ゴシック" w:hAnsi="游ゴシック" w:eastAsia="游ゴシック"/>
                <w:b w:val="0"/>
                <w:sz w:val="18"/>
              </w:rPr>
              <w:t>完了13・一部0・未着手1</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79％</w:t>
            </w:r>
          </w:p>
        </w:tc>
        <w:tc>
          <w:tcPr>
            <w:tcW w:type="dxa" w:w="1928"/>
            <w:vAlign w:val="center"/>
          </w:tcPr>
          <w:p>
            <w:pPr>
              <w:keepNext/>
              <w:spacing w:after="0"/>
            </w:pPr>
            <w:r>
              <w:rPr>
                <w:rFonts w:ascii="游ゴシック" w:hAnsi="游ゴシック" w:eastAsia="游ゴシック"/>
                <w:b w:val="0"/>
                <w:sz w:val="18"/>
              </w:rPr>
              <w:t>完了4・一部3・未着手0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94％</w:t>
            </w:r>
          </w:p>
        </w:tc>
        <w:tc>
          <w:tcPr>
            <w:tcW w:type="dxa" w:w="1928"/>
            <w:shd w:val="clear" w:color="auto" w:fill="F2F5FA"/>
            <w:vAlign w:val="center"/>
          </w:tcPr>
          <w:p>
            <w:pPr>
              <w:keepNext/>
              <w:spacing w:after="0"/>
            </w:pPr>
            <w:r>
              <w:rPr>
                <w:rFonts w:ascii="游ゴシック" w:hAnsi="游ゴシック" w:eastAsia="游ゴシック"/>
                <w:b w:val="0"/>
                <w:sz w:val="18"/>
              </w:rPr>
              <w:t>完了8・一部1・未着手0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81％</w:t>
            </w:r>
          </w:p>
        </w:tc>
        <w:tc>
          <w:tcPr>
            <w:tcW w:type="dxa" w:w="1928"/>
            <w:vAlign w:val="center"/>
          </w:tcPr>
          <w:p>
            <w:pPr>
              <w:keepNext/>
              <w:spacing w:after="0"/>
            </w:pPr>
            <w:r>
              <w:rPr>
                <w:rFonts w:ascii="游ゴシック" w:hAnsi="游ゴシック" w:eastAsia="游ゴシック"/>
                <w:b w:val="0"/>
                <w:sz w:val="18"/>
              </w:rPr>
              <w:t>完了5・一部3・未着手0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50％</w:t>
            </w:r>
          </w:p>
        </w:tc>
        <w:tc>
          <w:tcPr>
            <w:tcW w:type="dxa" w:w="1928"/>
            <w:shd w:val="clear" w:color="auto" w:fill="F2F5FA"/>
            <w:vAlign w:val="center"/>
          </w:tcPr>
          <w:p>
            <w:pPr>
              <w:spacing w:after="0"/>
            </w:pPr>
            <w:r>
              <w:rPr>
                <w:rFonts w:ascii="游ゴシック" w:hAnsi="游ゴシック" w:eastAsia="游ゴシック"/>
                <w:b w:val="0"/>
                <w:sz w:val="18"/>
              </w:rPr>
              <w:t>完了2・一部1・未着手2</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67％です。（11）成果品の帰属及び（12）その他は数値で表していません。令和8年10月4日までは受託者の見積りによる数値をお示ししており、全体は79％としていました。作業項目の達成状況から算定する形に改めたことにより67％となっています。作業が後戻りしたものではなく、算定の基礎を改めたことによる差です。（6）計画書の作成は計画最終案及び概要版原稿が未着手であること、（8）各種会議への技術的支援は3町との協議資料及び説明用データが作成済みであ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全体の件数と絞り込みの条件</w:t>
      </w:r>
    </w:p>
    <w:p>
      <w:pPr>
        <w:spacing w:after="80"/>
      </w:pPr>
      <w:r>
        <w:rPr>
          <w:rFonts w:ascii="游ゴシック" w:hAnsi="游ゴシック" w:eastAsia="游ゴシック"/>
          <w:b w:val="0"/>
          <w:sz w:val="21"/>
        </w:rPr>
        <w:t>確認事項は全189件、うち未決が173件です。そのまま掲げると用をなさないため、本節では</w:t>
      </w:r>
      <w:r>
        <w:rPr>
          <w:rFonts w:ascii="游ゴシック" w:hAnsi="游ゴシック" w:eastAsia="游ゴシック"/>
          <w:b/>
          <w:sz w:val="21"/>
        </w:rPr>
        <w:t>保険料の月額を動かすもの</w:t>
      </w:r>
      <w:r>
        <w:rPr>
          <w:rFonts w:ascii="游ゴシック" w:hAnsi="游ゴシック" w:eastAsia="游ゴシック"/>
          <w:b w:val="0"/>
          <w:sz w:val="21"/>
        </w:rPr>
        <w:t>と</w:t>
      </w:r>
      <w:r>
        <w:rPr>
          <w:rFonts w:ascii="游ゴシック" w:hAnsi="游ゴシック" w:eastAsia="游ゴシック"/>
          <w:b/>
          <w:sz w:val="21"/>
        </w:rPr>
        <w:t>法定記載事項に直結するもの</w:t>
      </w:r>
      <w:r>
        <w:rPr>
          <w:rFonts w:ascii="游ゴシック" w:hAnsi="游ゴシック" w:eastAsia="游ゴシック"/>
          <w:b w:val="0"/>
          <w:sz w:val="21"/>
        </w:rPr>
        <w:t>に絞ってお示しします。全件は業務工程管理表（03 確認事項一覧）のとおりです。</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189件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決着済み</w:t>
            </w:r>
          </w:p>
        </w:tc>
        <w:tc>
          <w:tcPr>
            <w:tcW w:type="dxa" w:w="1134"/>
            <w:shd w:val="clear" w:color="auto" w:fill="F2F5FA"/>
            <w:vAlign w:val="center"/>
          </w:tcPr>
          <w:p>
            <w:pPr>
              <w:keepNext/>
              <w:spacing w:after="0"/>
              <w:jc w:val="center"/>
            </w:pPr>
            <w:r>
              <w:rPr>
                <w:rFonts w:ascii="游ゴシック" w:hAnsi="游ゴシック" w:eastAsia="游ゴシック"/>
                <w:b w:val="0"/>
                <w:sz w:val="18"/>
              </w:rPr>
              <w:t>16件</w:t>
            </w:r>
          </w:p>
        </w:tc>
        <w:tc>
          <w:tcPr>
            <w:tcW w:type="dxa" w:w="5443"/>
            <w:shd w:val="clear" w:color="auto" w:fill="F2F5FA"/>
            <w:vAlign w:val="center"/>
          </w:tcPr>
          <w:p>
            <w:pPr>
              <w:keepNext/>
              <w:spacing w:after="0"/>
            </w:pPr>
            <w:r>
              <w:rPr>
                <w:rFonts w:ascii="游ゴシック" w:hAnsi="游ゴシック" w:eastAsia="游ゴシック"/>
                <w:b w:val="0"/>
                <w:sz w:val="18"/>
              </w:rPr>
              <w:t>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未決</w:t>
            </w:r>
          </w:p>
        </w:tc>
        <w:tc>
          <w:tcPr>
            <w:tcW w:type="dxa" w:w="1134"/>
            <w:vAlign w:val="center"/>
          </w:tcPr>
          <w:p>
            <w:pPr>
              <w:keepNext/>
              <w:spacing w:after="0"/>
              <w:jc w:val="center"/>
            </w:pPr>
            <w:r>
              <w:rPr>
                <w:rFonts w:ascii="游ゴシック" w:hAnsi="游ゴシック" w:eastAsia="游ゴシック"/>
                <w:b w:val="0"/>
                <w:sz w:val="18"/>
              </w:rPr>
              <w:t>173件</w:t>
            </w:r>
          </w:p>
        </w:tc>
        <w:tc>
          <w:tcPr>
            <w:tcW w:type="dxa" w:w="5443"/>
            <w:vAlign w:val="center"/>
          </w:tcPr>
          <w:p>
            <w:pPr>
              <w:keepNext/>
              <w:spacing w:after="0"/>
            </w:pPr>
            <w:r>
              <w:rPr>
                <w:rFonts w:ascii="游ゴシック" w:hAnsi="游ゴシック" w:eastAsia="游ゴシック"/>
                <w:b w:val="0"/>
                <w:sz w:val="18"/>
              </w:rPr>
              <w:t>ご決定・ご確認をお待ちしているもの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うち扱いを仮置きしたもの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173件</w:t>
            </w:r>
          </w:p>
        </w:tc>
        <w:tc>
          <w:tcPr>
            <w:tcW w:type="dxa" w:w="5443"/>
            <w:shd w:val="clear" w:color="auto" w:fill="F2F5FA"/>
            <w:vAlign w:val="center"/>
          </w:tcPr>
          <w:p>
            <w:pPr>
              <w:keepNext/>
              <w:spacing w:after="0"/>
            </w:pPr>
            <w:r>
              <w:rPr>
                <w:rFonts w:ascii="游ゴシック" w:hAnsi="游ゴシック" w:eastAsia="游ゴシック"/>
                <w:b/>
                <w:sz w:val="18"/>
              </w:rPr>
              <w:t>全件に「決まらない場合の当方の扱い」を置いています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162件</w:t>
            </w:r>
          </w:p>
        </w:tc>
        <w:tc>
          <w:tcPr>
            <w:tcW w:type="dxa" w:w="5443"/>
            <w:vAlign w:val="center"/>
          </w:tcPr>
          <w:p>
            <w:pPr>
              <w:spacing w:after="0"/>
            </w:pPr>
            <w:r>
              <w:rPr>
                <w:rFonts w:ascii="游ゴシック" w:hAnsi="游ゴシック" w:eastAsia="游ゴシック"/>
                <w:b w:val="0"/>
                <w:sz w:val="18"/>
              </w:rPr>
              <w:t>仮置きのとおり計画素案に反映し、ご決定を待っているもの</w:t>
            </w:r>
          </w:p>
        </w:tc>
      </w:tr>
    </w:tbl>
    <w:p>
      <w:pPr>
        <w:ind w:left="227"/>
      </w:pPr>
      <w:r>
        <w:rPr>
          <w:rFonts w:ascii="游ゴシック" w:hAnsi="游ゴシック" w:eastAsia="游ゴシック"/>
          <w:b w:val="0"/>
          <w:sz w:val="18"/>
        </w:rPr>
        <w:t>※ 仮置きは協議を進めるためのものであり、ご決定に代わるものではありません。計画として確定する前にご判断を要します。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ご決定がないと確定できないものです。いずれも計画素案には仮置きのとおり記述し、確定しない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現在の仮置き</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調査の確定値化を止めている1件</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 xml:space="preserve"> です。提出元の事業所へ照会するか、未回答のまま範囲で記述するかのご決定により、調査の確定値化と、結果報告書・集計分析報告書・計画素案の該当箇所の更新が動きます。照会の文面は既に作成しています。</w:t>
      </w:r>
    </w:p>
    <w:p>
      <w:pPr>
        <w:ind w:left="227"/>
      </w:pPr>
      <w:r>
        <w:rPr>
          <w:rFonts w:ascii="游ゴシック" w:hAnsi="游ゴシック" w:eastAsia="游ゴシック"/>
          <w:b w:val="0"/>
          <w:sz w:val="18"/>
        </w:rPr>
        <w:t>※ 決まらない場合の当方の扱い：3調査の点検事項は当方の判定のままとする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資料提供依頼は全23件で、うち16件が未受領です。優先度の高いものから示します。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見える化システムD49の指標定義</w:t>
            </w:r>
          </w:p>
        </w:tc>
        <w:tc>
          <w:tcPr>
            <w:tcW w:type="dxa" w:w="3061"/>
            <w:shd w:val="clear" w:color="auto" w:fill="F2F5FA"/>
            <w:vAlign w:val="center"/>
          </w:tcPr>
          <w:p>
            <w:pPr>
              <w:spacing w:after="0"/>
            </w:pPr>
            <w:r>
              <w:rPr>
                <w:rFonts w:ascii="游ゴシック" w:hAnsi="游ゴシック" w:eastAsia="游ゴシック"/>
                <w:b w:val="0"/>
                <w:sz w:val="18"/>
              </w:rPr>
              <w:t>地域差指数の分解の可否</w:t>
            </w:r>
          </w:p>
        </w:tc>
        <w:tc>
          <w:tcPr>
            <w:tcW w:type="dxa" w:w="1474"/>
            <w:shd w:val="clear" w:color="auto" w:fill="F2F5FA"/>
            <w:vAlign w:val="center"/>
          </w:tcPr>
          <w:p>
            <w:pPr>
              <w:spacing w:after="0"/>
            </w:pPr>
            <w:r>
              <w:rPr>
                <w:rFonts w:ascii="游ゴシック" w:hAnsi="游ゴシック" w:eastAsia="游ゴシック"/>
                <w:b w:val="0"/>
                <w:sz w:val="18"/>
              </w:rPr>
              <w:t>見える化システム・厚生労働省</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見える化B5a・B6a・B6bの令和8年3月末の値</w:t>
            </w:r>
          </w:p>
        </w:tc>
        <w:tc>
          <w:tcPr>
            <w:tcW w:type="dxa" w:w="3061"/>
            <w:vAlign w:val="center"/>
          </w:tcPr>
          <w:p>
            <w:pPr>
              <w:spacing w:after="0"/>
            </w:pPr>
            <w:r>
              <w:rPr>
                <w:rFonts w:ascii="游ゴシック" w:hAnsi="游ゴシック" w:eastAsia="游ゴシック"/>
                <w:b w:val="0"/>
                <w:sz w:val="18"/>
              </w:rPr>
              <w:t>中重度・軽度の認定率の推移</w:t>
            </w:r>
          </w:p>
        </w:tc>
        <w:tc>
          <w:tcPr>
            <w:tcW w:type="dxa" w:w="1474"/>
            <w:vAlign w:val="center"/>
          </w:tcPr>
          <w:p>
            <w:pPr>
              <w:spacing w:after="0"/>
            </w:pPr>
            <w:r>
              <w:rPr>
                <w:rFonts w:ascii="游ゴシック" w:hAnsi="游ゴシック" w:eastAsia="游ゴシック"/>
                <w:b w:val="0"/>
                <w:sz w:val="18"/>
              </w:rPr>
              <w:t>見える化システム</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spacing w:before="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パブリックコメント支援（ウェブで2週間。概要版を用いる）、意見整理、計画案修正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パブリックコメント用素案／意見の分類整理表／意見に対する考え方（原案）／介護保険運営協議会資料（原案）／※介護保険運営協議会（パブリックコメントの前）</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第10期計画最終案／運営協議会資料原案／※2月19日　事務管理者・主監会議協議（最終協議。原稿・数値の確定）</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計画書（印刷200部）／計画書及び概要版の電子データ／分析資料等の電子データ／打合せ資料等／※3月2日　全員協議会情報提供／※3月3日　第10期介護保険事業計画の決定（データの締切り）／※3月23日　広域連合議会</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全189件／未決173件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全23件／未受領16件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