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189件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173件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令和8年10月15日】参照条文により、介護保険法第117条第7項が「老人福祉法第20条の8第1項に規定する市町村老人福祉計画と一体のものとして作成されなければならない」ことを定めていることを確かめた。条及び項は第20条の8第1項である。老人福祉法そのものの条文は参照条文に収録されていない（第18条及び第20条の6のみ）ため、同条の内容及び市町村老人福祉計画の記載事項はなお確認できてい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令和8年10月15日】新旧対照条文により社会福祉法第106条の12（新設）の内容を確かめた。小規模市町村が本事業を実施する場合、介護保険法第122条の2（第3項を除く。地域支援事業に係る国の交付金）並びに第123条第3項及び第4項（都道府県の負担）の規定の適用について、第122条の2第1項の「費用」から本事業として行う社会福祉法第106条の6第2項第3号イに掲げる事業に要する費用を除き、第123条第4項の「費用」から同条第2項第1号イ及び第3号ロに掲げる事業に要する費用を除くこととされている。重層的支援体制整備事業（社会福祉法第106条の4）と同じ構造である。除かれるのは国の交付金及び都道府県の負担の対象となる費用であり、当該費用は社会福祉法による交付金等により支弁されることとなる。除かれる事業の内容（第106条の6第2項第1号イ・第3号イ・第3号ロ）は確かめていない。小規模市町村の基準は厚生労働省令で定められるため、①（該当の有無）は引き続き確認を要する【令和8年10月15日】参照条文には社会福祉法第106条の3（包括的な支援体制の整備）までが収録されており、第106条の6は改正法により新設される規定であるため現れない。本件は進んでいない</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受託者が仮置きにより進めた事項（162件）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