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単価の趨勢を見込まないことは＋185〜＋374円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令和7年度の</w:t>
              <w:br/>
              <w:t>抽出条件又は再作成</w:t>
            </w:r>
          </w:p>
        </w:tc>
        <w:tc>
          <w:tcPr>
            <w:tcW w:type="dxa" w:w="1701"/>
            <w:vAlign w:val="center"/>
          </w:tcPr>
          <w:p>
            <w:pPr>
              <w:spacing w:after="0"/>
            </w:pPr>
            <w:r>
              <w:rPr>
                <w:rFonts w:ascii="游ゴシック" w:hAnsi="游ゴシック" w:eastAsia="游ゴシック"/>
                <w:b w:val="0"/>
                <w:sz w:val="18"/>
              </w:rPr>
              <w:t>発注者（美瑛町 014597 ほか）</w:t>
            </w:r>
          </w:p>
        </w:tc>
        <w:tc>
          <w:tcPr>
            <w:tcW w:type="dxa" w:w="4195"/>
            <w:vAlign w:val="center"/>
          </w:tcPr>
          <w:p>
            <w:pPr>
              <w:spacing w:after="0"/>
            </w:pPr>
            <w:r>
              <w:rPr>
                <w:rFonts w:ascii="游ゴシック" w:hAnsi="游ゴシック" w:eastAsia="游ゴシック"/>
                <w:b w:val="0"/>
                <w:sz w:val="18"/>
              </w:rPr>
              <w:t>3町計と広域連合単位で129,580,267円（4.20％）の差がある。</w:t>
              <w:br/>
              <w:t>町別の実績値を計画本文に書けない</w:t>
            </w:r>
          </w:p>
        </w:tc>
        <w:tc>
          <w:tcPr>
            <w:tcW w:type="dxa" w:w="1361"/>
            <w:vAlign w:val="center"/>
          </w:tcPr>
          <w:p>
            <w:pPr>
              <w:spacing w:after="0"/>
            </w:pPr>
            <w:r>
              <w:rPr>
                <w:rFonts w:ascii="游ゴシック" w:hAnsi="游ゴシック" w:eastAsia="游ゴシック"/>
                <w:b w:val="0"/>
                <w:sz w:val="18"/>
              </w:rPr>
              <w:t>No.87</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改定率1％あたり月額＋61円。単価の年率1.75％の伸びを見込まないことは月額＋185〜＋3</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ツールから要介護度間の比（形）だけを採り、水準は総括表に合わせて比例調整した。採用値は単価固定（06シート）のままとし、</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要介護度別の単価を用いると令和11年度＋0.047％（月額＋2円）、令和22年度＋0.280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令和7年度の実績で固定した</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回数のみでは月額への効きは小さい</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年齢階級ごとの要介護度の構成を令和7年度末の実績で固定した。年齢構成の変化による重度化は反映される</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一律の伸びとの差は月額+8円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季節指数の和が12となり換算係数が1.0000で恒等的に消える。補正を行わない</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本件は令和8年8月28日に受領したファイルについて令和8年9月に文書で照会し、ご回答をいただいていないものです。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具体的には、介護度別給付費シートの総計で、3町の合計が3,213,054,558円、大雪地区広域連合のファイルが3,083,474,291円で、129,580,267円、率にして4.2％の開きがございます。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8月28日にいただきました給付費データの令和7年度分について、3町の合計と広域連合の数値が4.2％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資料の提供を改めてお願いする場合（総合事業の令和7年度実績）</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現在は令和6年度の実績を3年間据え置いた形で置いておりまして、令和7年度の実績を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総合事業の実施状況調査の様式そのままで結構です。10月中旬ごろまでにいただけますと第2次概算に反映できます。難しいようでしたら令和6年度の据え置きのままお出しし、その旨を注記いたします。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本件の事実関係（電話の手元資料）</w:t>
      </w:r>
    </w:p>
    <w:p>
      <w:pPr>
        <w:spacing w:after="80"/>
      </w:pPr>
      <w:r>
        <w:rPr>
          <w:rFonts w:ascii="游ゴシック" w:hAnsi="游ゴシック" w:eastAsia="游ゴシック"/>
          <w:b w:val="0"/>
          <w:sz w:val="21"/>
        </w:rPr>
        <w:t>確認事項No.87について、当方が突き合わせた結果です。電話のときはこの頁を手元に置いてください。</w:t>
      </w:r>
    </w:p>
    <w:p>
      <w:pPr>
        <w:keepNext/>
        <w:spacing w:before="180" w:after="60"/>
      </w:pPr>
      <w:r>
        <w:rPr>
          <w:rFonts w:ascii="游ゴシック" w:hAnsi="游ゴシック" w:eastAsia="游ゴシック"/>
          <w:b/>
          <w:sz w:val="22"/>
        </w:rPr>
        <w:t>１　年度別の突合</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＋129,580,267円</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単位は円。出所は令和8年8月28日にご提供いただいた給付費データ集計12ファイルの「介護度別給付費」シートの総計です。</w:t>
      </w:r>
    </w:p>
    <w:p>
      <w:pPr>
        <w:keepNext/>
        <w:spacing w:before="180" w:after="60"/>
      </w:pPr>
      <w:r>
        <w:rPr>
          <w:rFonts w:ascii="游ゴシック" w:hAnsi="游ゴシック" w:eastAsia="游ゴシック"/>
          <w:b/>
          <w:sz w:val="22"/>
        </w:rPr>
        <w:t>２　要介護度別の差（令和7年度）</w:t>
      </w:r>
    </w:p>
    <w:p>
      <w:pPr>
        <w:keepNext/>
        <w:spacing w:before="160" w:after="40"/>
      </w:pPr>
      <w:r>
        <w:rPr>
          <w:rFonts w:ascii="游ゴシック" w:hAnsi="游ゴシック" w:eastAsia="游ゴシック"/>
          <w:b/>
          <w:sz w:val="20"/>
        </w:rPr>
        <w:t>表8　令和7年度の要介護度別の差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差は1.68％から6.23％まで幅があります。1か月分が欠けたような一様な差ではありません。</w:t>
      </w:r>
    </w:p>
    <w:p>
      <w:pPr>
        <w:keepNext/>
        <w:spacing w:before="180" w:after="60"/>
      </w:pPr>
      <w:r>
        <w:rPr>
          <w:rFonts w:ascii="游ゴシック" w:hAnsi="游ゴシック" w:eastAsia="游ゴシック"/>
          <w:b/>
          <w:sz w:val="22"/>
        </w:rPr>
        <w:t>３　美瑛町だけの問題とみることはできません</w:t>
      </w:r>
    </w:p>
    <w:p>
      <w:pPr>
        <w:spacing w:after="80"/>
      </w:pPr>
      <w:r>
        <w:rPr>
          <w:rFonts w:ascii="游ゴシック" w:hAnsi="游ゴシック" w:eastAsia="游ゴシック"/>
          <w:b/>
          <w:sz w:val="21"/>
        </w:rPr>
        <w:t>電話で「美瑛町のファイルが誤っている」という言い方をしないのは、次の2つの理由によります。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（１）差は3町とも同じ向きに出ています。</w:t>
      </w:r>
    </w:p>
    <w:p>
      <w:pPr>
        <w:keepNext/>
        <w:spacing w:before="160" w:after="40"/>
      </w:pPr>
      <w:r>
        <w:rPr>
          <w:rFonts w:ascii="游ゴシック" w:hAnsi="游ゴシック" w:eastAsia="游ゴシック"/>
          <w:b/>
          <w:sz w:val="20"/>
        </w:rPr>
        <w:t>表9　令和8年度の町別構成比で広域連合の令和7年度を按分した場合との差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町</w:t>
            </w:r>
          </w:p>
        </w:tc>
        <w:tc>
          <w:tcPr>
            <w:tcW w:type="dxa" w:w="1701"/>
            <w:shd w:val="clear" w:color="auto" w:fill="1F3864"/>
            <w:vAlign w:val="center"/>
          </w:tcPr>
          <w:p>
            <w:pPr>
              <w:spacing w:after="0"/>
              <w:jc w:val="center"/>
            </w:pPr>
            <w:r>
              <w:rPr>
                <w:rFonts w:ascii="游ゴシック" w:hAnsi="游ゴシック" w:eastAsia="游ゴシック"/>
                <w:b/>
                <w:color w:val="FFFFFF"/>
                <w:sz w:val="18"/>
              </w:rPr>
              <w:t>令和8年度の構成比</w:t>
            </w:r>
          </w:p>
        </w:tc>
        <w:tc>
          <w:tcPr>
            <w:tcW w:type="dxa" w:w="2041"/>
            <w:shd w:val="clear" w:color="auto" w:fill="1F3864"/>
            <w:vAlign w:val="center"/>
          </w:tcPr>
          <w:p>
            <w:pPr>
              <w:spacing w:after="0"/>
              <w:jc w:val="center"/>
            </w:pPr>
            <w:r>
              <w:rPr>
                <w:rFonts w:ascii="游ゴシック" w:hAnsi="游ゴシック" w:eastAsia="游ゴシック"/>
                <w:b/>
                <w:color w:val="FFFFFF"/>
                <w:sz w:val="18"/>
              </w:rPr>
              <w:t>按分した額</w:t>
            </w:r>
          </w:p>
        </w:tc>
        <w:tc>
          <w:tcPr>
            <w:tcW w:type="dxa" w:w="2154"/>
            <w:shd w:val="clear" w:color="auto" w:fill="1F3864"/>
            <w:vAlign w:val="center"/>
          </w:tcPr>
          <w:p>
            <w:pPr>
              <w:spacing w:after="0"/>
              <w:jc w:val="center"/>
            </w:pPr>
            <w:r>
              <w:rPr>
                <w:rFonts w:ascii="游ゴシック" w:hAnsi="游ゴシック" w:eastAsia="游ゴシック"/>
                <w:b/>
                <w:color w:val="FFFFFF"/>
                <w:sz w:val="18"/>
              </w:rPr>
              <w:t>町別ファイルの実際の額</w:t>
            </w:r>
          </w:p>
        </w:tc>
        <w:tc>
          <w:tcPr>
            <w:tcW w:type="dxa" w:w="1928"/>
            <w:shd w:val="clear" w:color="auto" w:fill="1F3864"/>
            <w:vAlign w:val="center"/>
          </w:tcPr>
          <w:p>
            <w:pPr>
              <w:spacing w:after="0"/>
              <w:jc w:val="center"/>
            </w:pPr>
            <w:r>
              <w:rPr>
                <w:rFonts w:ascii="游ゴシック" w:hAnsi="游ゴシック" w:eastAsia="游ゴシック"/>
                <w:b/>
                <w:color w:val="FFFFFF"/>
                <w:sz w:val="18"/>
              </w:rPr>
              <w:t>差</w:t>
            </w:r>
          </w:p>
        </w:tc>
      </w:tr>
      <w:tr>
        <w:trPr>
          <w:cantSplit/>
        </w:trPr>
        <w:tc>
          <w:tcPr>
            <w:tcW w:type="dxa" w:w="1928"/>
            <w:vAlign w:val="center"/>
          </w:tcPr>
          <w:p>
            <w:pPr>
              <w:spacing w:after="0"/>
            </w:pPr>
            <w:r>
              <w:rPr>
                <w:rFonts w:ascii="游ゴシック" w:hAnsi="游ゴシック" w:eastAsia="游ゴシック"/>
                <w:b/>
                <w:sz w:val="18"/>
              </w:rPr>
              <w:t>東川町（014589）</w:t>
            </w:r>
          </w:p>
        </w:tc>
        <w:tc>
          <w:tcPr>
            <w:tcW w:type="dxa" w:w="1701"/>
            <w:vAlign w:val="center"/>
          </w:tcPr>
          <w:p>
            <w:pPr>
              <w:spacing w:after="0"/>
            </w:pPr>
            <w:r>
              <w:rPr>
                <w:rFonts w:ascii="游ゴシック" w:hAnsi="游ゴシック" w:eastAsia="游ゴシック"/>
                <w:b w:val="0"/>
                <w:sz w:val="18"/>
              </w:rPr>
              <w:t>0.2716</w:t>
            </w:r>
          </w:p>
        </w:tc>
        <w:tc>
          <w:tcPr>
            <w:tcW w:type="dxa" w:w="2041"/>
            <w:vAlign w:val="center"/>
          </w:tcPr>
          <w:p>
            <w:pPr>
              <w:spacing w:after="0"/>
              <w:jc w:val="center"/>
            </w:pPr>
            <w:r>
              <w:rPr>
                <w:rFonts w:ascii="游ゴシック" w:hAnsi="游ゴシック" w:eastAsia="游ゴシック"/>
                <w:b w:val="0"/>
                <w:sz w:val="18"/>
              </w:rPr>
              <w:t>837,592,911</w:t>
            </w:r>
          </w:p>
        </w:tc>
        <w:tc>
          <w:tcPr>
            <w:tcW w:type="dxa" w:w="2154"/>
            <w:vAlign w:val="center"/>
          </w:tcPr>
          <w:p>
            <w:pPr>
              <w:spacing w:after="0"/>
            </w:pPr>
            <w:r>
              <w:rPr>
                <w:rFonts w:ascii="游ゴシック" w:hAnsi="游ゴシック" w:eastAsia="游ゴシック"/>
                <w:b w:val="0"/>
                <w:sz w:val="18"/>
              </w:rPr>
              <w:t>870,650,528</w:t>
            </w:r>
          </w:p>
        </w:tc>
        <w:tc>
          <w:tcPr>
            <w:tcW w:type="dxa" w:w="1928"/>
            <w:vAlign w:val="center"/>
          </w:tcPr>
          <w:p>
            <w:pPr>
              <w:spacing w:after="0"/>
            </w:pPr>
            <w:r>
              <w:rPr>
                <w:rFonts w:ascii="游ゴシック" w:hAnsi="游ゴシック" w:eastAsia="游ゴシック"/>
                <w:b w:val="0"/>
                <w:sz w:val="18"/>
              </w:rPr>
              <w:t>＋3.95％</w:t>
            </w:r>
          </w:p>
        </w:tc>
      </w:tr>
      <w:tr>
        <w:trPr>
          <w:cantSplit/>
        </w:trPr>
        <w:tc>
          <w:tcPr>
            <w:tcW w:type="dxa" w:w="1928"/>
            <w:shd w:val="clear" w:color="auto" w:fill="F2F5FA"/>
            <w:vAlign w:val="center"/>
          </w:tcPr>
          <w:p>
            <w:pPr>
              <w:spacing w:after="0"/>
            </w:pPr>
            <w:r>
              <w:rPr>
                <w:rFonts w:ascii="游ゴシック" w:hAnsi="游ゴシック" w:eastAsia="游ゴシック"/>
                <w:b/>
                <w:sz w:val="18"/>
              </w:rPr>
              <w:t>美瑛町（014597）</w:t>
            </w:r>
          </w:p>
        </w:tc>
        <w:tc>
          <w:tcPr>
            <w:tcW w:type="dxa" w:w="1701"/>
            <w:shd w:val="clear" w:color="auto" w:fill="F2F5FA"/>
            <w:vAlign w:val="center"/>
          </w:tcPr>
          <w:p>
            <w:pPr>
              <w:spacing w:after="0"/>
            </w:pPr>
            <w:r>
              <w:rPr>
                <w:rFonts w:ascii="游ゴシック" w:hAnsi="游ゴシック" w:eastAsia="游ゴシック"/>
                <w:b w:val="0"/>
                <w:sz w:val="18"/>
              </w:rPr>
              <w:t>0.4608</w:t>
            </w:r>
          </w:p>
        </w:tc>
        <w:tc>
          <w:tcPr>
            <w:tcW w:type="dxa" w:w="2041"/>
            <w:shd w:val="clear" w:color="auto" w:fill="F2F5FA"/>
            <w:vAlign w:val="center"/>
          </w:tcPr>
          <w:p>
            <w:pPr>
              <w:spacing w:after="0"/>
              <w:jc w:val="center"/>
            </w:pPr>
            <w:r>
              <w:rPr>
                <w:rFonts w:ascii="游ゴシック" w:hAnsi="游ゴシック" w:eastAsia="游ゴシック"/>
                <w:b w:val="0"/>
                <w:sz w:val="18"/>
              </w:rPr>
              <w:t>1,420,973,735</w:t>
            </w:r>
          </w:p>
        </w:tc>
        <w:tc>
          <w:tcPr>
            <w:tcW w:type="dxa" w:w="2154"/>
            <w:shd w:val="clear" w:color="auto" w:fill="F2F5FA"/>
            <w:vAlign w:val="center"/>
          </w:tcPr>
          <w:p>
            <w:pPr>
              <w:spacing w:after="0"/>
            </w:pPr>
            <w:r>
              <w:rPr>
                <w:rFonts w:ascii="游ゴシック" w:hAnsi="游ゴシック" w:eastAsia="游ゴシック"/>
                <w:b w:val="0"/>
                <w:sz w:val="18"/>
              </w:rPr>
              <w:t>1,493,946,957</w:t>
            </w:r>
          </w:p>
        </w:tc>
        <w:tc>
          <w:tcPr>
            <w:tcW w:type="dxa" w:w="1928"/>
            <w:shd w:val="clear" w:color="auto" w:fill="F2F5FA"/>
            <w:vAlign w:val="center"/>
          </w:tcPr>
          <w:p>
            <w:pPr>
              <w:spacing w:after="0"/>
            </w:pPr>
            <w:r>
              <w:rPr>
                <w:rFonts w:ascii="游ゴシック" w:hAnsi="游ゴシック" w:eastAsia="游ゴシック"/>
                <w:b w:val="0"/>
                <w:sz w:val="18"/>
              </w:rPr>
              <w:t>＋5.14％</w:t>
            </w:r>
          </w:p>
        </w:tc>
      </w:tr>
      <w:tr>
        <w:trPr>
          <w:cantSplit/>
        </w:trPr>
        <w:tc>
          <w:tcPr>
            <w:tcW w:type="dxa" w:w="1928"/>
            <w:vAlign w:val="center"/>
          </w:tcPr>
          <w:p>
            <w:pPr>
              <w:spacing w:after="0"/>
            </w:pPr>
            <w:r>
              <w:rPr>
                <w:rFonts w:ascii="游ゴシック" w:hAnsi="游ゴシック" w:eastAsia="游ゴシック"/>
                <w:b/>
                <w:sz w:val="18"/>
              </w:rPr>
              <w:t>東神楽町（014530）</w:t>
            </w:r>
          </w:p>
        </w:tc>
        <w:tc>
          <w:tcPr>
            <w:tcW w:type="dxa" w:w="1701"/>
            <w:vAlign w:val="center"/>
          </w:tcPr>
          <w:p>
            <w:pPr>
              <w:spacing w:after="0"/>
            </w:pPr>
            <w:r>
              <w:rPr>
                <w:rFonts w:ascii="游ゴシック" w:hAnsi="游ゴシック" w:eastAsia="游ゴシック"/>
                <w:b w:val="0"/>
                <w:sz w:val="18"/>
              </w:rPr>
              <w:t>0.2675</w:t>
            </w:r>
          </w:p>
        </w:tc>
        <w:tc>
          <w:tcPr>
            <w:tcW w:type="dxa" w:w="2041"/>
            <w:vAlign w:val="center"/>
          </w:tcPr>
          <w:p>
            <w:pPr>
              <w:spacing w:after="0"/>
              <w:jc w:val="center"/>
            </w:pPr>
            <w:r>
              <w:rPr>
                <w:rFonts w:ascii="游ゴシック" w:hAnsi="游ゴシック" w:eastAsia="游ゴシック"/>
                <w:b w:val="0"/>
                <w:sz w:val="18"/>
              </w:rPr>
              <w:t>824,907,645</w:t>
            </w:r>
          </w:p>
        </w:tc>
        <w:tc>
          <w:tcPr>
            <w:tcW w:type="dxa" w:w="2154"/>
            <w:vAlign w:val="center"/>
          </w:tcPr>
          <w:p>
            <w:pPr>
              <w:spacing w:after="0"/>
            </w:pPr>
            <w:r>
              <w:rPr>
                <w:rFonts w:ascii="游ゴシック" w:hAnsi="游ゴシック" w:eastAsia="游ゴシック"/>
                <w:b w:val="0"/>
                <w:sz w:val="18"/>
              </w:rPr>
              <w:t>848,457,073</w:t>
            </w:r>
          </w:p>
        </w:tc>
        <w:tc>
          <w:tcPr>
            <w:tcW w:type="dxa" w:w="1928"/>
            <w:vAlign w:val="center"/>
          </w:tcPr>
          <w:p>
            <w:pPr>
              <w:spacing w:after="0"/>
            </w:pPr>
            <w:r>
              <w:rPr>
                <w:rFonts w:ascii="游ゴシック" w:hAnsi="游ゴシック" w:eastAsia="游ゴシック"/>
                <w:b w:val="0"/>
                <w:sz w:val="18"/>
              </w:rPr>
              <w:t>＋2.85％</w:t>
            </w:r>
          </w:p>
        </w:tc>
      </w:tr>
    </w:tbl>
    <w:p>
      <w:pPr>
        <w:ind w:left="227"/>
      </w:pPr>
      <w:r>
        <w:rPr>
          <w:rFonts w:ascii="游ゴシック" w:hAnsi="游ゴシック" w:eastAsia="游ゴシック"/>
          <w:sz w:val="18"/>
        </w:rPr>
        <w:t>※ 令和8年度は3町計と広域連合が一致しているため、その構成比を令和7年度に当てはめています。3町とも按分した額を上回っており、美瑛町だけの差ではありません。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（２）前年度からの伸びが、広域連合のファイルだけ趨勢から外れています。</w:t>
      </w:r>
    </w:p>
    <w:p>
      <w:pPr>
        <w:keepNext/>
        <w:spacing w:before="160" w:after="40"/>
      </w:pPr>
      <w:r>
        <w:rPr>
          <w:rFonts w:ascii="游ゴシック" w:hAnsi="游ゴシック" w:eastAsia="游ゴシック"/>
          <w:b/>
          <w:sz w:val="20"/>
        </w:rPr>
        <w:t>表10　令和6年度から令和7年度への伸び</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出所</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令和6年度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令和7年度</w:t>
            </w:r>
          </w:p>
        </w:tc>
        <w:tc>
          <w:tcPr>
            <w:tcW w:type="dxa" w:w="1587"/>
            <w:shd w:val="clear" w:color="auto" w:fill="1F3864"/>
            <w:vAlign w:val="center"/>
          </w:tcPr>
          <w:p>
            <w:pPr>
              <w:spacing w:after="0"/>
              <w:jc w:val="center"/>
            </w:pPr>
            <w:r>
              <w:rPr>
                <w:rFonts w:ascii="游ゴシック" w:hAnsi="游ゴシック" w:eastAsia="游ゴシック"/>
                <w:b/>
                <w:color w:val="FFFFFF"/>
                <w:sz w:val="18"/>
              </w:rPr>
              <w:t>伸び</w:t>
            </w:r>
          </w:p>
        </w:tc>
      </w:tr>
      <w:tr>
        <w:trPr>
          <w:cantSplit/>
        </w:trPr>
        <w:tc>
          <w:tcPr>
            <w:tcW w:type="dxa" w:w="2268"/>
            <w:vAlign w:val="center"/>
          </w:tcPr>
          <w:p>
            <w:pPr>
              <w:spacing w:after="0"/>
            </w:pPr>
            <w:r>
              <w:rPr>
                <w:rFonts w:ascii="游ゴシック" w:hAnsi="游ゴシック" w:eastAsia="游ゴシック"/>
                <w:b/>
                <w:sz w:val="18"/>
              </w:rPr>
              <w:t>東川町のファイル</w:t>
            </w:r>
          </w:p>
        </w:tc>
        <w:tc>
          <w:tcPr>
            <w:tcW w:type="dxa" w:w="2494"/>
            <w:vAlign w:val="center"/>
          </w:tcPr>
          <w:p>
            <w:pPr>
              <w:spacing w:after="0"/>
            </w:pPr>
            <w:r>
              <w:rPr>
                <w:rFonts w:ascii="游ゴシック" w:hAnsi="游ゴシック" w:eastAsia="游ゴシック"/>
                <w:b w:val="0"/>
                <w:sz w:val="18"/>
              </w:rPr>
              <w:t>847,817,044</w:t>
            </w:r>
          </w:p>
        </w:tc>
        <w:tc>
          <w:tcPr>
            <w:tcW w:type="dxa" w:w="2494"/>
            <w:vAlign w:val="center"/>
          </w:tcPr>
          <w:p>
            <w:pPr>
              <w:spacing w:after="0"/>
            </w:pPr>
            <w:r>
              <w:rPr>
                <w:rFonts w:ascii="游ゴシック" w:hAnsi="游ゴシック" w:eastAsia="游ゴシック"/>
                <w:b w:val="0"/>
                <w:sz w:val="18"/>
              </w:rPr>
              <w:t>870,650,528</w:t>
            </w:r>
          </w:p>
        </w:tc>
        <w:tc>
          <w:tcPr>
            <w:tcW w:type="dxa" w:w="1587"/>
            <w:vAlign w:val="center"/>
          </w:tcPr>
          <w:p>
            <w:pPr>
              <w:spacing w:after="0"/>
            </w:pPr>
            <w:r>
              <w:rPr>
                <w:rFonts w:ascii="游ゴシック" w:hAnsi="游ゴシック" w:eastAsia="游ゴシック"/>
                <w:b w:val="0"/>
                <w:sz w:val="18"/>
              </w:rPr>
              <w:t>+2.69％</w:t>
            </w:r>
          </w:p>
        </w:tc>
      </w:tr>
      <w:tr>
        <w:trPr>
          <w:cantSplit/>
        </w:trPr>
        <w:tc>
          <w:tcPr>
            <w:tcW w:type="dxa" w:w="2268"/>
            <w:shd w:val="clear" w:color="auto" w:fill="F2F5FA"/>
            <w:vAlign w:val="center"/>
          </w:tcPr>
          <w:p>
            <w:pPr>
              <w:spacing w:after="0"/>
            </w:pPr>
            <w:r>
              <w:rPr>
                <w:rFonts w:ascii="游ゴシック" w:hAnsi="游ゴシック" w:eastAsia="游ゴシック"/>
                <w:b/>
                <w:sz w:val="18"/>
              </w:rPr>
              <w:t>美瑛町のファイル</w:t>
            </w:r>
          </w:p>
        </w:tc>
        <w:tc>
          <w:tcPr>
            <w:tcW w:type="dxa" w:w="2494"/>
            <w:shd w:val="clear" w:color="auto" w:fill="F2F5FA"/>
            <w:vAlign w:val="center"/>
          </w:tcPr>
          <w:p>
            <w:pPr>
              <w:spacing w:after="0"/>
            </w:pPr>
            <w:r>
              <w:rPr>
                <w:rFonts w:ascii="游ゴシック" w:hAnsi="游ゴシック" w:eastAsia="游ゴシック"/>
                <w:b w:val="0"/>
                <w:sz w:val="18"/>
              </w:rPr>
              <w:t>1,441,105,327</w:t>
            </w:r>
          </w:p>
        </w:tc>
        <w:tc>
          <w:tcPr>
            <w:tcW w:type="dxa" w:w="2494"/>
            <w:shd w:val="clear" w:color="auto" w:fill="F2F5FA"/>
            <w:vAlign w:val="center"/>
          </w:tcPr>
          <w:p>
            <w:pPr>
              <w:spacing w:after="0"/>
            </w:pPr>
            <w:r>
              <w:rPr>
                <w:rFonts w:ascii="游ゴシック" w:hAnsi="游ゴシック" w:eastAsia="游ゴシック"/>
                <w:b w:val="0"/>
                <w:sz w:val="18"/>
              </w:rPr>
              <w:t>1,493,946,957</w:t>
            </w:r>
          </w:p>
        </w:tc>
        <w:tc>
          <w:tcPr>
            <w:tcW w:type="dxa" w:w="1587"/>
            <w:shd w:val="clear" w:color="auto" w:fill="F2F5FA"/>
            <w:vAlign w:val="center"/>
          </w:tcPr>
          <w:p>
            <w:pPr>
              <w:spacing w:after="0"/>
            </w:pPr>
            <w:r>
              <w:rPr>
                <w:rFonts w:ascii="游ゴシック" w:hAnsi="游ゴシック" w:eastAsia="游ゴシック"/>
                <w:b w:val="0"/>
                <w:sz w:val="18"/>
              </w:rPr>
              <w:t>+3.67％</w:t>
            </w:r>
          </w:p>
        </w:tc>
      </w:tr>
      <w:tr>
        <w:trPr>
          <w:cantSplit/>
        </w:trPr>
        <w:tc>
          <w:tcPr>
            <w:tcW w:type="dxa" w:w="2268"/>
            <w:vAlign w:val="center"/>
          </w:tcPr>
          <w:p>
            <w:pPr>
              <w:spacing w:after="0"/>
            </w:pPr>
            <w:r>
              <w:rPr>
                <w:rFonts w:ascii="游ゴシック" w:hAnsi="游ゴシック" w:eastAsia="游ゴシック"/>
                <w:b/>
                <w:sz w:val="18"/>
              </w:rPr>
              <w:t>東神楽町のファイル</w:t>
            </w:r>
          </w:p>
        </w:tc>
        <w:tc>
          <w:tcPr>
            <w:tcW w:type="dxa" w:w="2494"/>
            <w:vAlign w:val="center"/>
          </w:tcPr>
          <w:p>
            <w:pPr>
              <w:spacing w:after="0"/>
            </w:pPr>
            <w:r>
              <w:rPr>
                <w:rFonts w:ascii="游ゴシック" w:hAnsi="游ゴシック" w:eastAsia="游ゴシック"/>
                <w:b w:val="0"/>
                <w:sz w:val="18"/>
              </w:rPr>
              <w:t>796,015,463</w:t>
            </w:r>
          </w:p>
        </w:tc>
        <w:tc>
          <w:tcPr>
            <w:tcW w:type="dxa" w:w="2494"/>
            <w:vAlign w:val="center"/>
          </w:tcPr>
          <w:p>
            <w:pPr>
              <w:spacing w:after="0"/>
            </w:pPr>
            <w:r>
              <w:rPr>
                <w:rFonts w:ascii="游ゴシック" w:hAnsi="游ゴシック" w:eastAsia="游ゴシック"/>
                <w:b w:val="0"/>
                <w:sz w:val="18"/>
              </w:rPr>
              <w:t>848,457,073</w:t>
            </w:r>
          </w:p>
        </w:tc>
        <w:tc>
          <w:tcPr>
            <w:tcW w:type="dxa" w:w="1587"/>
            <w:vAlign w:val="center"/>
          </w:tcPr>
          <w:p>
            <w:pPr>
              <w:spacing w:after="0"/>
            </w:pPr>
            <w:r>
              <w:rPr>
                <w:rFonts w:ascii="游ゴシック" w:hAnsi="游ゴシック" w:eastAsia="游ゴシック"/>
                <w:b w:val="0"/>
                <w:sz w:val="18"/>
              </w:rPr>
              <w:t>+6.59％</w:t>
            </w:r>
          </w:p>
        </w:tc>
      </w:tr>
      <w:tr>
        <w:trPr>
          <w:cantSplit/>
        </w:trPr>
        <w:tc>
          <w:tcPr>
            <w:tcW w:type="dxa" w:w="2268"/>
            <w:shd w:val="clear" w:color="auto" w:fill="F2F5FA"/>
            <w:vAlign w:val="center"/>
          </w:tcPr>
          <w:p>
            <w:pPr>
              <w:spacing w:after="0"/>
            </w:pPr>
            <w:r>
              <w:rPr>
                <w:rFonts w:ascii="游ゴシック" w:hAnsi="游ゴシック" w:eastAsia="游ゴシック"/>
                <w:b/>
                <w:sz w:val="18"/>
              </w:rPr>
              <w:t>【大雪】のファイル</w:t>
            </w:r>
          </w:p>
        </w:tc>
        <w:tc>
          <w:tcPr>
            <w:tcW w:type="dxa" w:w="2494"/>
            <w:shd w:val="clear" w:color="auto" w:fill="F2F5FA"/>
            <w:vAlign w:val="center"/>
          </w:tcPr>
          <w:p>
            <w:pPr>
              <w:spacing w:after="0"/>
            </w:pPr>
            <w:r>
              <w:rPr>
                <w:rFonts w:ascii="游ゴシック" w:hAnsi="游ゴシック" w:eastAsia="游ゴシック"/>
                <w:b w:val="0"/>
                <w:sz w:val="18"/>
              </w:rPr>
              <w:t>3,084,937,834</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1587"/>
            <w:shd w:val="clear" w:color="auto" w:fill="F2F5FA"/>
            <w:vAlign w:val="center"/>
          </w:tcPr>
          <w:p>
            <w:pPr>
              <w:spacing w:after="0"/>
            </w:pPr>
            <w:r>
              <w:rPr>
                <w:rFonts w:ascii="游ゴシック" w:hAnsi="游ゴシック" w:eastAsia="游ゴシック"/>
                <w:b w:val="0"/>
                <w:sz w:val="18"/>
              </w:rPr>
              <w:t>-0.05％</w:t>
            </w:r>
          </w:p>
        </w:tc>
      </w:tr>
    </w:tbl>
    <w:p>
      <w:pPr>
        <w:ind w:left="227"/>
      </w:pPr>
      <w:r>
        <w:rPr>
          <w:rFonts w:ascii="游ゴシック" w:hAnsi="游ゴシック" w:eastAsia="游ゴシック"/>
          <w:sz w:val="18"/>
        </w:rPr>
        <w:t>※ 3町はいずれも+2.69％から+6.59％の増であるのに対し、広域連合のファイルは-0.05％です。数が少ないのは広域連合のファイルの側である可能性があります。</w:t>
      </w:r>
    </w:p>
    <w:p>
      <w:pPr>
        <w:keepNext/>
        <w:spacing w:before="180" w:after="60"/>
      </w:pPr>
      <w:r>
        <w:rPr>
          <w:rFonts w:ascii="游ゴシック" w:hAnsi="游ゴシック" w:eastAsia="游ゴシック"/>
          <w:b/>
          <w:sz w:val="22"/>
        </w:rPr>
        <w:t>４　もう1件、あわせてお伝えできること</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他の年度と作り方が違っている可能性を示す手掛かりですので、抽出条件をうかがう際に併せてお伝えすると、先方が原因にたどり着きやすくなります。</w:t>
      </w:r>
    </w:p>
    <w:p>
      <w:pPr>
        <w:keepNext/>
        <w:spacing w:before="180" w:after="60"/>
      </w:pPr>
      <w:r>
        <w:rPr>
          <w:rFonts w:ascii="游ゴシック" w:hAnsi="游ゴシック" w:eastAsia="游ゴシック"/>
          <w:b/>
          <w:sz w:val="22"/>
        </w:rPr>
        <w:t>５　この件が決着しなくても止まらないこと</w:t>
      </w:r>
    </w:p>
    <w:p>
      <w:pPr>
        <w:ind w:left="340" w:hanging="340"/>
      </w:pPr>
      <w:r>
        <w:rPr>
          <w:rFonts w:ascii="游ゴシック" w:hAnsi="游ゴシック" w:eastAsia="游ゴシック"/>
          <w:sz w:val="20"/>
        </w:rPr>
        <w:t>・保険料の算定には介護保険特別会計の決算額を用いています。本件は計画書に載せる実績の記載にかかわるものです。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pPr>
        <w:ind w:left="340" w:hanging="340"/>
      </w:pPr>
      <w:r>
        <w:rPr>
          <w:rFonts w:ascii="游ゴシック" w:hAnsi="游ゴシック" w:eastAsia="游ゴシック"/>
          <w:sz w:val="20"/>
        </w:rPr>
        <w:t>・決着しない場合は、令和7年度の町別の値を計画本文に載せず、広域連合単位の値のみを用い、その旨を注記します。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表11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令和6年度は3町計と広域連合が一致すること</w:t>
            </w:r>
          </w:p>
        </w:tc>
        <w:tc>
          <w:tcPr>
            <w:tcW w:type="dxa" w:w="4309"/>
            <w:vAlign w:val="center"/>
          </w:tcPr>
          <w:p>
            <w:pPr>
              <w:spacing w:after="0"/>
            </w:pPr>
            <w:r>
              <w:rPr>
                <w:rFonts w:ascii="游ゴシック" w:hAnsi="游ゴシック" w:eastAsia="游ゴシック"/>
                <w:b w:val="0"/>
                <w:sz w:val="18"/>
              </w:rPr>
              <w:t>差 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令和8年度は3町計と広域連合が一致すること</w:t>
            </w:r>
          </w:p>
        </w:tc>
        <w:tc>
          <w:tcPr>
            <w:tcW w:type="dxa" w:w="4309"/>
            <w:shd w:val="clear" w:color="auto" w:fill="F2F5FA"/>
            <w:vAlign w:val="center"/>
          </w:tcPr>
          <w:p>
            <w:pPr>
              <w:spacing w:after="0"/>
            </w:pPr>
            <w:r>
              <w:rPr>
                <w:rFonts w:ascii="游ゴシック" w:hAnsi="游ゴシック" w:eastAsia="游ゴシック"/>
                <w:b w:val="0"/>
                <w:sz w:val="18"/>
              </w:rPr>
              <w:t>差 0円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令和7年度のみ差があること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要介護度別の差が一様でないこと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按分との差が3町とも正であること</w:t>
            </w:r>
          </w:p>
        </w:tc>
        <w:tc>
          <w:tcPr>
            <w:tcW w:type="dxa" w:w="4309"/>
            <w:vAlign w:val="center"/>
          </w:tcPr>
          <w:p>
            <w:pPr>
              <w:spacing w:after="0"/>
            </w:pPr>
            <w:r>
              <w:rPr>
                <w:rFonts w:ascii="游ゴシック" w:hAnsi="游ゴシック" w:eastAsia="游ゴシック"/>
                <w:b w:val="0"/>
                <w:sz w:val="18"/>
              </w:rPr>
              <w:t>東川町+3.95％／美瑛町+5.14％／東神楽町+2.85％</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広域連合のみ前年度を下回ること</w:t>
            </w:r>
          </w:p>
        </w:tc>
        <w:tc>
          <w:tcPr>
            <w:tcW w:type="dxa" w:w="4309"/>
            <w:shd w:val="clear" w:color="auto" w:fill="F2F5FA"/>
            <w:vAlign w:val="center"/>
          </w:tcPr>
          <w:p>
            <w:pPr>
              <w:spacing w:after="0"/>
            </w:pPr>
            <w:r>
              <w:rPr>
                <w:rFonts w:ascii="游ゴシック" w:hAnsi="游ゴシック" w:eastAsia="游ゴシック"/>
                <w:b w:val="0"/>
                <w:sz w:val="18"/>
              </w:rPr>
              <w:t>広域連合-0.05％に対し3町は+2.69〜+6.59％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157件（No.87は「給付費データ集計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